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AE14E" w14:textId="77777777" w:rsidR="00ED354D" w:rsidRDefault="00FF4B85" w:rsidP="00DF5F98">
      <w:pPr>
        <w:spacing w:before="60"/>
        <w:ind w:left="350" w:right="345"/>
        <w:jc w:val="center"/>
        <w:rPr>
          <w:sz w:val="28"/>
          <w:szCs w:val="40"/>
        </w:rPr>
      </w:pPr>
      <w:r w:rsidRPr="00DF5F98">
        <w:rPr>
          <w:sz w:val="28"/>
          <w:szCs w:val="40"/>
        </w:rPr>
        <w:t xml:space="preserve">SAFETY REQUIREMENTS CHECKLIST FOR </w:t>
      </w:r>
      <w:r w:rsidR="00DF5F98" w:rsidRPr="00DF5F98">
        <w:rPr>
          <w:sz w:val="28"/>
          <w:szCs w:val="40"/>
        </w:rPr>
        <w:t>CPUC-</w:t>
      </w:r>
      <w:r w:rsidRPr="00DF5F98">
        <w:rPr>
          <w:sz w:val="28"/>
          <w:szCs w:val="40"/>
        </w:rPr>
        <w:t>APPROVED TRANSPORTATION ELECTRIFICATION PROGRAMS</w:t>
      </w:r>
      <w:bookmarkStart w:id="0" w:name="_gjdgxs" w:colFirst="0" w:colLast="0"/>
      <w:bookmarkEnd w:id="0"/>
    </w:p>
    <w:p w14:paraId="281220E3" w14:textId="77777777" w:rsidR="00DF5F98" w:rsidRPr="00DF5F98" w:rsidRDefault="00DF5F98" w:rsidP="00DF5F98">
      <w:pPr>
        <w:spacing w:before="60"/>
        <w:ind w:left="350" w:right="345"/>
        <w:jc w:val="center"/>
        <w:rPr>
          <w:sz w:val="28"/>
          <w:szCs w:val="40"/>
        </w:rPr>
      </w:pPr>
    </w:p>
    <w:p w14:paraId="5A847D1B" w14:textId="2A487A78" w:rsidR="00ED354D" w:rsidRDefault="00FF4B85">
      <w:pPr>
        <w:pBdr>
          <w:top w:val="nil"/>
          <w:left w:val="nil"/>
          <w:bottom w:val="nil"/>
          <w:right w:val="nil"/>
          <w:between w:val="nil"/>
        </w:pBdr>
        <w:ind w:left="220" w:right="316"/>
        <w:rPr>
          <w:color w:val="000000"/>
          <w:sz w:val="26"/>
          <w:szCs w:val="26"/>
        </w:rPr>
      </w:pPr>
      <w:r>
        <w:rPr>
          <w:color w:val="000000"/>
          <w:sz w:val="26"/>
          <w:szCs w:val="26"/>
        </w:rPr>
        <w:t xml:space="preserve">[Note: Each sponsoring utility must ensure that the following Pre-construction, Construction, and Operational standards are met and report on their compliance </w:t>
      </w:r>
      <w:r w:rsidR="00571810">
        <w:rPr>
          <w:color w:val="000000"/>
          <w:sz w:val="26"/>
          <w:szCs w:val="26"/>
        </w:rPr>
        <w:t>to the Commission are required in D.18-09-034</w:t>
      </w:r>
      <w:r>
        <w:rPr>
          <w:color w:val="000000"/>
          <w:sz w:val="26"/>
          <w:szCs w:val="26"/>
        </w:rPr>
        <w:t xml:space="preserve">. The requirements </w:t>
      </w:r>
      <w:r w:rsidR="00571810">
        <w:rPr>
          <w:color w:val="000000"/>
          <w:sz w:val="26"/>
          <w:szCs w:val="26"/>
        </w:rPr>
        <w:t xml:space="preserve">listed herein </w:t>
      </w:r>
      <w:r>
        <w:rPr>
          <w:color w:val="000000"/>
          <w:sz w:val="26"/>
          <w:szCs w:val="26"/>
        </w:rPr>
        <w:t xml:space="preserve">are the minimum safety precautions the utilities </w:t>
      </w:r>
      <w:r w:rsidR="00571810">
        <w:rPr>
          <w:color w:val="000000"/>
          <w:sz w:val="26"/>
          <w:szCs w:val="26"/>
        </w:rPr>
        <w:t xml:space="preserve">must </w:t>
      </w:r>
      <w:r>
        <w:rPr>
          <w:color w:val="000000"/>
          <w:sz w:val="26"/>
          <w:szCs w:val="26"/>
        </w:rPr>
        <w:t>meet</w:t>
      </w:r>
      <w:r w:rsidR="00571810">
        <w:rPr>
          <w:color w:val="000000"/>
          <w:sz w:val="26"/>
          <w:szCs w:val="26"/>
        </w:rPr>
        <w:t xml:space="preserve"> when implementing their authorized programs</w:t>
      </w:r>
      <w:r>
        <w:rPr>
          <w:color w:val="000000"/>
          <w:sz w:val="26"/>
          <w:szCs w:val="26"/>
        </w:rPr>
        <w:t>.]</w:t>
      </w:r>
    </w:p>
    <w:p w14:paraId="27C04A14" w14:textId="77777777" w:rsidR="00ED354D" w:rsidRDefault="00ED354D">
      <w:pPr>
        <w:pBdr>
          <w:top w:val="nil"/>
          <w:left w:val="nil"/>
          <w:bottom w:val="nil"/>
          <w:right w:val="nil"/>
          <w:between w:val="nil"/>
        </w:pBdr>
        <w:spacing w:before="1"/>
        <w:rPr>
          <w:color w:val="000000"/>
          <w:sz w:val="26"/>
          <w:szCs w:val="26"/>
        </w:rPr>
      </w:pPr>
    </w:p>
    <w:p w14:paraId="16E6AFDE" w14:textId="77777777" w:rsidR="00ED354D" w:rsidRDefault="00FF4B85">
      <w:pPr>
        <w:pStyle w:val="Heading1"/>
        <w:spacing w:before="1"/>
        <w:rPr>
          <w:sz w:val="17"/>
          <w:szCs w:val="17"/>
        </w:rPr>
      </w:pPr>
      <w:r>
        <w:t>Terminology Defined</w:t>
      </w:r>
      <w:r>
        <w:rPr>
          <w:sz w:val="28"/>
          <w:szCs w:val="28"/>
          <w:vertAlign w:val="superscript"/>
        </w:rPr>
        <w:t>1</w:t>
      </w:r>
    </w:p>
    <w:p w14:paraId="2AF59FE2" w14:textId="77777777" w:rsidR="00ED354D" w:rsidRDefault="00ED354D">
      <w:pPr>
        <w:pBdr>
          <w:top w:val="nil"/>
          <w:left w:val="nil"/>
          <w:bottom w:val="nil"/>
          <w:right w:val="nil"/>
          <w:between w:val="nil"/>
        </w:pBdr>
        <w:spacing w:before="8"/>
        <w:rPr>
          <w:b/>
          <w:color w:val="000000"/>
          <w:sz w:val="26"/>
          <w:szCs w:val="26"/>
        </w:rPr>
      </w:pPr>
    </w:p>
    <w:tbl>
      <w:tblPr>
        <w:tblStyle w:val="a"/>
        <w:tblW w:w="957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9"/>
        <w:gridCol w:w="4789"/>
      </w:tblGrid>
      <w:tr w:rsidR="00ED354D" w14:paraId="3E9CBB64" w14:textId="77777777">
        <w:trPr>
          <w:trHeight w:val="300"/>
        </w:trPr>
        <w:tc>
          <w:tcPr>
            <w:tcW w:w="4789" w:type="dxa"/>
          </w:tcPr>
          <w:p w14:paraId="2C03587A" w14:textId="77777777" w:rsidR="00ED354D" w:rsidRDefault="00FF4B85">
            <w:pPr>
              <w:pBdr>
                <w:top w:val="nil"/>
                <w:left w:val="nil"/>
                <w:bottom w:val="nil"/>
                <w:right w:val="nil"/>
                <w:between w:val="nil"/>
              </w:pBdr>
              <w:spacing w:line="294" w:lineRule="auto"/>
              <w:ind w:left="1742" w:right="1739" w:hanging="106"/>
              <w:jc w:val="center"/>
              <w:rPr>
                <w:b/>
                <w:color w:val="000000"/>
                <w:sz w:val="26"/>
                <w:szCs w:val="26"/>
              </w:rPr>
            </w:pPr>
            <w:r>
              <w:rPr>
                <w:b/>
                <w:color w:val="000000"/>
                <w:sz w:val="26"/>
                <w:szCs w:val="26"/>
              </w:rPr>
              <w:t>Acronym</w:t>
            </w:r>
          </w:p>
        </w:tc>
        <w:tc>
          <w:tcPr>
            <w:tcW w:w="4789" w:type="dxa"/>
          </w:tcPr>
          <w:p w14:paraId="1765FCB7" w14:textId="77777777" w:rsidR="00ED354D" w:rsidRDefault="00FF4B85">
            <w:pPr>
              <w:pBdr>
                <w:top w:val="nil"/>
                <w:left w:val="nil"/>
                <w:bottom w:val="nil"/>
                <w:right w:val="nil"/>
                <w:between w:val="nil"/>
              </w:pBdr>
              <w:spacing w:line="294" w:lineRule="auto"/>
              <w:ind w:left="1742" w:right="1739" w:hanging="106"/>
              <w:jc w:val="center"/>
              <w:rPr>
                <w:b/>
                <w:color w:val="000000"/>
                <w:sz w:val="26"/>
                <w:szCs w:val="26"/>
              </w:rPr>
            </w:pPr>
            <w:r>
              <w:rPr>
                <w:b/>
                <w:color w:val="000000"/>
                <w:sz w:val="26"/>
                <w:szCs w:val="26"/>
              </w:rPr>
              <w:t>Definition</w:t>
            </w:r>
          </w:p>
        </w:tc>
      </w:tr>
      <w:tr w:rsidR="00ED354D" w14:paraId="53EB8928" w14:textId="77777777">
        <w:trPr>
          <w:trHeight w:val="320"/>
        </w:trPr>
        <w:tc>
          <w:tcPr>
            <w:tcW w:w="4789" w:type="dxa"/>
          </w:tcPr>
          <w:p w14:paraId="1DCDCD09"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EV</w:t>
            </w:r>
          </w:p>
        </w:tc>
        <w:tc>
          <w:tcPr>
            <w:tcW w:w="4789" w:type="dxa"/>
          </w:tcPr>
          <w:p w14:paraId="7B3FA6B6"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Electric Vehicle</w:t>
            </w:r>
          </w:p>
        </w:tc>
      </w:tr>
      <w:tr w:rsidR="00ED354D" w14:paraId="0E5F56C6" w14:textId="77777777">
        <w:trPr>
          <w:trHeight w:val="320"/>
        </w:trPr>
        <w:tc>
          <w:tcPr>
            <w:tcW w:w="4789" w:type="dxa"/>
          </w:tcPr>
          <w:p w14:paraId="0DF992E2" w14:textId="77777777" w:rsidR="00ED354D" w:rsidRDefault="00FF4B85">
            <w:pPr>
              <w:pBdr>
                <w:top w:val="nil"/>
                <w:left w:val="nil"/>
                <w:bottom w:val="nil"/>
                <w:right w:val="nil"/>
                <w:between w:val="nil"/>
              </w:pBdr>
              <w:spacing w:line="301" w:lineRule="auto"/>
              <w:ind w:left="107" w:hanging="107"/>
              <w:rPr>
                <w:color w:val="000000"/>
                <w:sz w:val="26"/>
                <w:szCs w:val="26"/>
              </w:rPr>
            </w:pPr>
            <w:r>
              <w:rPr>
                <w:color w:val="000000"/>
                <w:sz w:val="26"/>
                <w:szCs w:val="26"/>
              </w:rPr>
              <w:t>UL</w:t>
            </w:r>
          </w:p>
        </w:tc>
        <w:tc>
          <w:tcPr>
            <w:tcW w:w="4789" w:type="dxa"/>
          </w:tcPr>
          <w:p w14:paraId="3A84A94A" w14:textId="77777777" w:rsidR="00ED354D" w:rsidRDefault="00FF4B85">
            <w:pPr>
              <w:pBdr>
                <w:top w:val="nil"/>
                <w:left w:val="nil"/>
                <w:bottom w:val="nil"/>
                <w:right w:val="nil"/>
                <w:between w:val="nil"/>
              </w:pBdr>
              <w:spacing w:line="301" w:lineRule="auto"/>
              <w:ind w:left="107" w:hanging="107"/>
              <w:rPr>
                <w:color w:val="000000"/>
                <w:sz w:val="26"/>
                <w:szCs w:val="26"/>
              </w:rPr>
            </w:pPr>
            <w:r>
              <w:rPr>
                <w:color w:val="000000"/>
                <w:sz w:val="26"/>
                <w:szCs w:val="26"/>
              </w:rPr>
              <w:t>Underwriters Laboratory</w:t>
            </w:r>
          </w:p>
        </w:tc>
      </w:tr>
      <w:tr w:rsidR="00ED354D" w14:paraId="001560C6" w14:textId="77777777">
        <w:trPr>
          <w:trHeight w:val="3540"/>
        </w:trPr>
        <w:tc>
          <w:tcPr>
            <w:tcW w:w="4789" w:type="dxa"/>
          </w:tcPr>
          <w:p w14:paraId="7A90AA11" w14:textId="77777777" w:rsidR="00ED354D" w:rsidRDefault="00FF4B85">
            <w:pPr>
              <w:pBdr>
                <w:top w:val="nil"/>
                <w:left w:val="nil"/>
                <w:bottom w:val="nil"/>
                <w:right w:val="nil"/>
                <w:between w:val="nil"/>
              </w:pBdr>
              <w:ind w:left="107" w:hanging="107"/>
              <w:rPr>
                <w:color w:val="000000"/>
                <w:sz w:val="26"/>
                <w:szCs w:val="26"/>
              </w:rPr>
            </w:pPr>
            <w:r>
              <w:rPr>
                <w:color w:val="000000"/>
                <w:sz w:val="26"/>
                <w:szCs w:val="26"/>
              </w:rPr>
              <w:t>EVSE</w:t>
            </w:r>
          </w:p>
        </w:tc>
        <w:tc>
          <w:tcPr>
            <w:tcW w:w="4789" w:type="dxa"/>
          </w:tcPr>
          <w:p w14:paraId="1AD93A9A" w14:textId="77777777" w:rsidR="00ED354D" w:rsidRDefault="00FF4B85">
            <w:pPr>
              <w:pBdr>
                <w:top w:val="nil"/>
                <w:left w:val="nil"/>
                <w:bottom w:val="nil"/>
                <w:right w:val="nil"/>
                <w:between w:val="nil"/>
              </w:pBdr>
              <w:ind w:left="107" w:right="123" w:hanging="107"/>
              <w:rPr>
                <w:color w:val="000000"/>
                <w:sz w:val="26"/>
                <w:szCs w:val="26"/>
              </w:rPr>
            </w:pPr>
            <w:r>
              <w:rPr>
                <w:color w:val="000000"/>
                <w:sz w:val="26"/>
                <w:szCs w:val="26"/>
              </w:rPr>
              <w:t>Electric Vehicle Supply Equipment</w:t>
            </w:r>
            <w:r w:rsidR="00DF5F98">
              <w:rPr>
                <w:color w:val="000000"/>
                <w:sz w:val="26"/>
                <w:szCs w:val="26"/>
              </w:rPr>
              <w:t xml:space="preserve"> </w:t>
            </w:r>
            <w:r>
              <w:rPr>
                <w:color w:val="000000"/>
                <w:sz w:val="26"/>
                <w:szCs w:val="26"/>
              </w:rPr>
              <w:t>safely connects the AC electricity grid at a site to the EV. Sometimes used more broadly to refer to the charging equipment, not including the make- ready infrastructure or other charging infrastructure. May include multiple connectors to charge several EVs or to serve EVs with different types of connectors (e.g. SAE CCS and</w:t>
            </w:r>
          </w:p>
          <w:p w14:paraId="1AA9D321" w14:textId="77777777" w:rsidR="00ED354D" w:rsidRDefault="00FF4B85">
            <w:pPr>
              <w:pBdr>
                <w:top w:val="nil"/>
                <w:left w:val="nil"/>
                <w:bottom w:val="nil"/>
                <w:right w:val="nil"/>
                <w:between w:val="nil"/>
              </w:pBdr>
              <w:spacing w:before="2" w:line="302" w:lineRule="auto"/>
              <w:ind w:left="107" w:hanging="107"/>
              <w:rPr>
                <w:color w:val="000000"/>
                <w:sz w:val="26"/>
                <w:szCs w:val="26"/>
              </w:rPr>
            </w:pPr>
            <w:r>
              <w:rPr>
                <w:color w:val="000000"/>
                <w:sz w:val="26"/>
                <w:szCs w:val="26"/>
              </w:rPr>
              <w:t>CHAdeMO)</w:t>
            </w:r>
          </w:p>
        </w:tc>
      </w:tr>
      <w:tr w:rsidR="00ED354D" w14:paraId="1232A684" w14:textId="77777777">
        <w:trPr>
          <w:trHeight w:val="320"/>
        </w:trPr>
        <w:tc>
          <w:tcPr>
            <w:tcW w:w="4789" w:type="dxa"/>
          </w:tcPr>
          <w:p w14:paraId="4F2E3FDB" w14:textId="77777777" w:rsidR="00ED354D" w:rsidRDefault="00FF4B85">
            <w:pPr>
              <w:pBdr>
                <w:top w:val="nil"/>
                <w:left w:val="nil"/>
                <w:bottom w:val="nil"/>
                <w:right w:val="nil"/>
                <w:between w:val="nil"/>
              </w:pBdr>
              <w:spacing w:before="2" w:line="302" w:lineRule="auto"/>
              <w:ind w:left="107" w:hanging="107"/>
              <w:rPr>
                <w:color w:val="000000"/>
                <w:sz w:val="26"/>
                <w:szCs w:val="26"/>
              </w:rPr>
            </w:pPr>
            <w:r>
              <w:rPr>
                <w:color w:val="000000"/>
                <w:sz w:val="26"/>
                <w:szCs w:val="26"/>
              </w:rPr>
              <w:t>SAE</w:t>
            </w:r>
          </w:p>
        </w:tc>
        <w:tc>
          <w:tcPr>
            <w:tcW w:w="4789" w:type="dxa"/>
          </w:tcPr>
          <w:p w14:paraId="3C5489AE" w14:textId="77777777" w:rsidR="00ED354D" w:rsidRDefault="00FF4B85">
            <w:pPr>
              <w:pBdr>
                <w:top w:val="nil"/>
                <w:left w:val="nil"/>
                <w:bottom w:val="nil"/>
                <w:right w:val="nil"/>
                <w:between w:val="nil"/>
              </w:pBdr>
              <w:spacing w:before="2" w:line="302" w:lineRule="auto"/>
              <w:ind w:left="107" w:hanging="107"/>
              <w:rPr>
                <w:color w:val="000000"/>
                <w:sz w:val="26"/>
                <w:szCs w:val="26"/>
              </w:rPr>
            </w:pPr>
            <w:r>
              <w:rPr>
                <w:color w:val="000000"/>
                <w:sz w:val="26"/>
                <w:szCs w:val="26"/>
              </w:rPr>
              <w:t>Society of Automotive Engineers</w:t>
            </w:r>
          </w:p>
        </w:tc>
      </w:tr>
      <w:tr w:rsidR="00ED354D" w14:paraId="2D139EA1" w14:textId="77777777">
        <w:trPr>
          <w:trHeight w:val="320"/>
        </w:trPr>
        <w:tc>
          <w:tcPr>
            <w:tcW w:w="4789" w:type="dxa"/>
          </w:tcPr>
          <w:p w14:paraId="3C2AC250"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ADA</w:t>
            </w:r>
          </w:p>
        </w:tc>
        <w:tc>
          <w:tcPr>
            <w:tcW w:w="4789" w:type="dxa"/>
          </w:tcPr>
          <w:p w14:paraId="4F6D3EEB"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Americans with Disabilities Act</w:t>
            </w:r>
          </w:p>
        </w:tc>
      </w:tr>
      <w:tr w:rsidR="00ED354D" w14:paraId="75B663BA" w14:textId="77777777">
        <w:trPr>
          <w:trHeight w:val="320"/>
        </w:trPr>
        <w:tc>
          <w:tcPr>
            <w:tcW w:w="4789" w:type="dxa"/>
          </w:tcPr>
          <w:p w14:paraId="64B9577C"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AHJ</w:t>
            </w:r>
          </w:p>
        </w:tc>
        <w:tc>
          <w:tcPr>
            <w:tcW w:w="4789" w:type="dxa"/>
          </w:tcPr>
          <w:p w14:paraId="355E1773"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Authority Having Jurisdiction</w:t>
            </w:r>
            <w:r w:rsidR="006343B6">
              <w:rPr>
                <w:color w:val="000000"/>
                <w:sz w:val="26"/>
                <w:szCs w:val="26"/>
              </w:rPr>
              <w:t>, as defined by Article 100 of the 2017 National Electric Code:</w:t>
            </w:r>
            <w:r w:rsidR="00CA3FD0">
              <w:rPr>
                <w:color w:val="000000"/>
                <w:sz w:val="26"/>
                <w:szCs w:val="26"/>
              </w:rPr>
              <w:t xml:space="preserve"> </w:t>
            </w:r>
            <w:r w:rsidR="00CA3FD0" w:rsidRPr="00CA3FD0">
              <w:rPr>
                <w:color w:val="000000"/>
                <w:sz w:val="26"/>
                <w:szCs w:val="26"/>
              </w:rPr>
              <w:t>An organization, office, or individual responsible for enforcing the requirements of a code or standard, or for approving equipment, materials, an installation, or a procedure</w:t>
            </w:r>
            <w:r w:rsidR="006343B6">
              <w:rPr>
                <w:color w:val="000000"/>
                <w:sz w:val="26"/>
                <w:szCs w:val="26"/>
              </w:rPr>
              <w:t>.</w:t>
            </w:r>
            <w:r w:rsidR="00327EC5" w:rsidRPr="00327EC5">
              <w:rPr>
                <w:color w:val="000000"/>
                <w:szCs w:val="26"/>
                <w:vertAlign w:val="superscript"/>
              </w:rPr>
              <w:t>2</w:t>
            </w:r>
          </w:p>
        </w:tc>
      </w:tr>
      <w:tr w:rsidR="00ED354D" w14:paraId="3CD4D1F3" w14:textId="77777777">
        <w:trPr>
          <w:trHeight w:val="640"/>
        </w:trPr>
        <w:tc>
          <w:tcPr>
            <w:tcW w:w="4789" w:type="dxa"/>
          </w:tcPr>
          <w:p w14:paraId="711CC550" w14:textId="77777777" w:rsidR="00ED354D" w:rsidRDefault="00FF4B85">
            <w:pPr>
              <w:pBdr>
                <w:top w:val="nil"/>
                <w:left w:val="nil"/>
                <w:bottom w:val="nil"/>
                <w:right w:val="nil"/>
                <w:between w:val="nil"/>
              </w:pBdr>
              <w:spacing w:line="323" w:lineRule="auto"/>
              <w:ind w:left="107" w:hanging="107"/>
              <w:rPr>
                <w:color w:val="000000"/>
                <w:sz w:val="26"/>
                <w:szCs w:val="26"/>
              </w:rPr>
            </w:pPr>
            <w:r>
              <w:rPr>
                <w:color w:val="000000"/>
                <w:sz w:val="26"/>
                <w:szCs w:val="26"/>
              </w:rPr>
              <w:lastRenderedPageBreak/>
              <w:t>J-1772 Standard</w:t>
            </w:r>
          </w:p>
        </w:tc>
        <w:tc>
          <w:tcPr>
            <w:tcW w:w="4789" w:type="dxa"/>
          </w:tcPr>
          <w:p w14:paraId="77CA79E2" w14:textId="77777777" w:rsidR="00ED354D" w:rsidRDefault="00FF4B85">
            <w:pPr>
              <w:pBdr>
                <w:top w:val="nil"/>
                <w:left w:val="nil"/>
                <w:bottom w:val="nil"/>
                <w:right w:val="nil"/>
                <w:between w:val="nil"/>
              </w:pBdr>
              <w:spacing w:line="322" w:lineRule="auto"/>
              <w:ind w:left="107" w:hanging="107"/>
              <w:rPr>
                <w:color w:val="000000"/>
                <w:sz w:val="26"/>
                <w:szCs w:val="26"/>
              </w:rPr>
            </w:pPr>
            <w:r>
              <w:rPr>
                <w:color w:val="000000"/>
                <w:sz w:val="26"/>
                <w:szCs w:val="26"/>
              </w:rPr>
              <w:t xml:space="preserve">An SAE standard for electrical and physical interface to facilitate a safe </w:t>
            </w:r>
          </w:p>
          <w:p w14:paraId="2DB2BBA1" w14:textId="77777777" w:rsidR="00ED354D" w:rsidRDefault="00FF4B85">
            <w:pPr>
              <w:pBdr>
                <w:top w:val="nil"/>
                <w:left w:val="nil"/>
                <w:bottom w:val="nil"/>
                <w:right w:val="nil"/>
                <w:between w:val="nil"/>
              </w:pBdr>
              <w:spacing w:line="303" w:lineRule="auto"/>
              <w:ind w:left="107" w:hanging="107"/>
              <w:rPr>
                <w:color w:val="000000"/>
                <w:sz w:val="26"/>
                <w:szCs w:val="26"/>
              </w:rPr>
            </w:pPr>
            <w:r>
              <w:rPr>
                <w:color w:val="000000"/>
                <w:sz w:val="26"/>
                <w:szCs w:val="26"/>
              </w:rPr>
              <w:t xml:space="preserve">connections from the EVSE for conductive charging. </w:t>
            </w:r>
          </w:p>
        </w:tc>
      </w:tr>
    </w:tbl>
    <w:p w14:paraId="4B873589" w14:textId="77777777" w:rsidR="00ED354D" w:rsidRDefault="00FF4B85">
      <w:pPr>
        <w:pBdr>
          <w:top w:val="nil"/>
          <w:left w:val="nil"/>
          <w:bottom w:val="nil"/>
          <w:right w:val="nil"/>
          <w:between w:val="nil"/>
        </w:pBdr>
        <w:spacing w:before="9"/>
        <w:rPr>
          <w:b/>
          <w:color w:val="000000"/>
          <w:sz w:val="28"/>
          <w:szCs w:val="28"/>
        </w:rPr>
      </w:pPr>
      <w:r>
        <w:rPr>
          <w:noProof/>
        </w:rPr>
        <mc:AlternateContent>
          <mc:Choice Requires="wps">
            <w:drawing>
              <wp:anchor distT="0" distB="0" distL="0" distR="0" simplePos="0" relativeHeight="251658240" behindDoc="1" locked="0" layoutInCell="1" hidden="0" allowOverlap="1" wp14:anchorId="55A147FA" wp14:editId="27533536">
                <wp:simplePos x="0" y="0"/>
                <wp:positionH relativeFrom="margin">
                  <wp:posOffset>139700</wp:posOffset>
                </wp:positionH>
                <wp:positionV relativeFrom="paragraph">
                  <wp:posOffset>241300</wp:posOffset>
                </wp:positionV>
                <wp:extent cx="1829435" cy="1270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4431283" y="3780000"/>
                          <a:ext cx="18294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7EE9282" id="_x0000_t32" coordsize="21600,21600" o:spt="32" o:oned="t" path="m,l21600,21600e" filled="f">
                <v:path arrowok="t" fillok="f" o:connecttype="none"/>
                <o:lock v:ext="edit" shapetype="t"/>
              </v:shapetype>
              <v:shape id="Straight Arrow Connector 3" o:spid="_x0000_s1026" type="#_x0000_t32" style="position:absolute;margin-left:11pt;margin-top:19pt;width:144.05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">
                <w10:wrap type="topAndBottom" anchorx="margin"/>
              </v:shape>
            </w:pict>
          </mc:Fallback>
        </mc:AlternateContent>
      </w:r>
    </w:p>
    <w:p w14:paraId="1D1DB5F1" w14:textId="178687B8" w:rsidR="00ED354D" w:rsidRDefault="00FF4B85">
      <w:pPr>
        <w:spacing w:before="98"/>
        <w:ind w:left="220"/>
        <w:rPr>
          <w:sz w:val="20"/>
          <w:szCs w:val="20"/>
        </w:rPr>
      </w:pPr>
      <w:r>
        <w:rPr>
          <w:sz w:val="21"/>
          <w:szCs w:val="21"/>
          <w:vertAlign w:val="superscript"/>
        </w:rPr>
        <w:t xml:space="preserve">1 </w:t>
      </w:r>
      <w:r>
        <w:rPr>
          <w:i/>
          <w:sz w:val="20"/>
          <w:szCs w:val="20"/>
        </w:rPr>
        <w:t xml:space="preserve">See </w:t>
      </w:r>
      <w:r>
        <w:rPr>
          <w:sz w:val="20"/>
          <w:szCs w:val="20"/>
        </w:rPr>
        <w:t>D.18-0</w:t>
      </w:r>
      <w:r w:rsidR="00B219DE">
        <w:rPr>
          <w:sz w:val="20"/>
          <w:szCs w:val="20"/>
        </w:rPr>
        <w:t>9-034</w:t>
      </w:r>
      <w:r>
        <w:rPr>
          <w:sz w:val="20"/>
          <w:szCs w:val="20"/>
        </w:rPr>
        <w:t xml:space="preserve"> at Appendix A.</w:t>
      </w:r>
    </w:p>
    <w:p w14:paraId="17D9AAFB" w14:textId="54FC01A8" w:rsidR="00327EC5" w:rsidRPr="00327EC5" w:rsidRDefault="00327EC5">
      <w:pPr>
        <w:spacing w:before="98"/>
        <w:ind w:left="220"/>
        <w:rPr>
          <w:sz w:val="18"/>
          <w:szCs w:val="20"/>
        </w:rPr>
      </w:pPr>
      <w:r>
        <w:rPr>
          <w:sz w:val="21"/>
          <w:szCs w:val="21"/>
          <w:vertAlign w:val="superscript"/>
        </w:rPr>
        <w:t xml:space="preserve">2 </w:t>
      </w:r>
      <w:r w:rsidRPr="00327EC5">
        <w:rPr>
          <w:sz w:val="20"/>
        </w:rPr>
        <w:t>2017 NEC Article 100, Definitions, includes an informational note regarding AHJ: “The phrase ‘authority having jurisdiction’ or its acronym AHJ, is used in National Fire Protection Association (NFPA) documents in a broad manner, since jurisdictions and approval agencies vary, as do their responsibilities. Where public safety is primary, the authority having jurisdiction may be a federal, state, local, or other regional department or individual such as a fire chief; fire marshal; chief of a fire prevention bureau, labor department, or health department; building official; electrical inspector; or others having statutory authority. For insurance purposes, an insurance inspection department, rating bureau, or other insurance company representative may be the authority having jurisdiction. In many circumstances, the property owner or his or her designated agen</w:t>
      </w:r>
      <w:r w:rsidR="005D3EE9">
        <w:rPr>
          <w:sz w:val="20"/>
        </w:rPr>
        <w:t>t</w:t>
      </w:r>
      <w:r w:rsidRPr="00327EC5">
        <w:rPr>
          <w:sz w:val="20"/>
        </w:rPr>
        <w:t xml:space="preserve"> assumes the role of the authority having jurisdiction; at government installations, the commanding officer or departmental official may be the authority having jurisdiction.”</w:t>
      </w:r>
    </w:p>
    <w:p w14:paraId="14811D27" w14:textId="77777777" w:rsidR="00ED354D" w:rsidRDefault="00ED354D">
      <w:pPr>
        <w:rPr>
          <w:sz w:val="20"/>
          <w:szCs w:val="20"/>
        </w:rPr>
      </w:pPr>
    </w:p>
    <w:p w14:paraId="38481CF6" w14:textId="77777777" w:rsidR="00ED354D" w:rsidRDefault="00FF4B85">
      <w:pPr>
        <w:pBdr>
          <w:top w:val="nil"/>
          <w:left w:val="nil"/>
          <w:bottom w:val="nil"/>
          <w:right w:val="nil"/>
          <w:between w:val="nil"/>
        </w:pBdr>
        <w:spacing w:line="276" w:lineRule="auto"/>
        <w:rPr>
          <w:sz w:val="20"/>
          <w:szCs w:val="20"/>
        </w:rPr>
        <w:sectPr w:rsidR="00ED354D">
          <w:headerReference w:type="even" r:id="rId8"/>
          <w:headerReference w:type="default" r:id="rId9"/>
          <w:footerReference w:type="even" r:id="rId10"/>
          <w:footerReference w:type="default" r:id="rId11"/>
          <w:headerReference w:type="first" r:id="rId12"/>
          <w:footerReference w:type="first" r:id="rId13"/>
          <w:pgSz w:w="12240" w:h="15840"/>
          <w:pgMar w:top="1380" w:right="1220" w:bottom="280" w:left="1220" w:header="720" w:footer="720" w:gutter="0"/>
          <w:pgNumType w:start="1"/>
          <w:cols w:space="720"/>
        </w:sectPr>
      </w:pPr>
      <w:r>
        <w:br w:type="page"/>
      </w:r>
    </w:p>
    <w:p w14:paraId="418BE142" w14:textId="77777777" w:rsidR="00ED354D" w:rsidRDefault="00ED354D">
      <w:pPr>
        <w:pBdr>
          <w:top w:val="nil"/>
          <w:left w:val="nil"/>
          <w:bottom w:val="nil"/>
          <w:right w:val="nil"/>
          <w:between w:val="nil"/>
        </w:pBdr>
        <w:spacing w:line="276" w:lineRule="auto"/>
        <w:rPr>
          <w:sz w:val="20"/>
          <w:szCs w:val="20"/>
        </w:rPr>
      </w:pPr>
    </w:p>
    <w:tbl>
      <w:tblPr>
        <w:tblStyle w:val="a0"/>
        <w:tblW w:w="957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9"/>
        <w:gridCol w:w="4789"/>
      </w:tblGrid>
      <w:tr w:rsidR="00ED354D" w14:paraId="5258EE5D" w14:textId="77777777">
        <w:trPr>
          <w:trHeight w:val="960"/>
        </w:trPr>
        <w:tc>
          <w:tcPr>
            <w:tcW w:w="4789" w:type="dxa"/>
          </w:tcPr>
          <w:p w14:paraId="2E4D7D4A" w14:textId="77777777" w:rsidR="00ED354D" w:rsidRDefault="00FF4B85">
            <w:pPr>
              <w:pBdr>
                <w:top w:val="nil"/>
                <w:left w:val="nil"/>
                <w:bottom w:val="nil"/>
                <w:right w:val="nil"/>
                <w:between w:val="nil"/>
              </w:pBdr>
              <w:spacing w:line="323" w:lineRule="auto"/>
              <w:ind w:left="107" w:hanging="107"/>
              <w:rPr>
                <w:color w:val="000000"/>
                <w:sz w:val="26"/>
                <w:szCs w:val="26"/>
              </w:rPr>
            </w:pPr>
            <w:r>
              <w:rPr>
                <w:color w:val="000000"/>
                <w:sz w:val="26"/>
                <w:szCs w:val="26"/>
              </w:rPr>
              <w:t>Level 1 Charging</w:t>
            </w:r>
          </w:p>
        </w:tc>
        <w:tc>
          <w:tcPr>
            <w:tcW w:w="4789" w:type="dxa"/>
          </w:tcPr>
          <w:p w14:paraId="6DCC5154"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rPr>
              <w:t xml:space="preserve"> </w:t>
            </w:r>
            <w:r>
              <w:rPr>
                <w:color w:val="000000"/>
                <w:sz w:val="26"/>
                <w:szCs w:val="26"/>
              </w:rPr>
              <w:t>Charging via AC electrical connection at 120 volts and up to 16 amps, or 1.9 kW.</w:t>
            </w:r>
          </w:p>
        </w:tc>
      </w:tr>
      <w:tr w:rsidR="00ED354D" w14:paraId="5E11982F" w14:textId="77777777">
        <w:trPr>
          <w:trHeight w:val="1600"/>
        </w:trPr>
        <w:tc>
          <w:tcPr>
            <w:tcW w:w="4789" w:type="dxa"/>
          </w:tcPr>
          <w:p w14:paraId="38BD4086" w14:textId="77777777" w:rsidR="00ED354D" w:rsidRDefault="00FF4B85">
            <w:pPr>
              <w:pBdr>
                <w:top w:val="nil"/>
                <w:left w:val="nil"/>
                <w:bottom w:val="nil"/>
                <w:right w:val="nil"/>
                <w:between w:val="nil"/>
              </w:pBdr>
              <w:spacing w:line="323" w:lineRule="auto"/>
              <w:ind w:left="107" w:hanging="107"/>
              <w:rPr>
                <w:color w:val="000000"/>
                <w:sz w:val="26"/>
                <w:szCs w:val="26"/>
              </w:rPr>
            </w:pPr>
            <w:r>
              <w:rPr>
                <w:color w:val="000000"/>
                <w:sz w:val="26"/>
                <w:szCs w:val="26"/>
              </w:rPr>
              <w:t>Level 2 Charging</w:t>
            </w:r>
          </w:p>
        </w:tc>
        <w:tc>
          <w:tcPr>
            <w:tcW w:w="4789" w:type="dxa"/>
          </w:tcPr>
          <w:p w14:paraId="4F612D3F" w14:textId="77777777" w:rsidR="00ED354D" w:rsidRDefault="00FF4B85">
            <w:pPr>
              <w:pBdr>
                <w:top w:val="nil"/>
                <w:left w:val="nil"/>
                <w:bottom w:val="nil"/>
                <w:right w:val="nil"/>
                <w:between w:val="nil"/>
              </w:pBdr>
              <w:ind w:left="107" w:right="123" w:hanging="107"/>
              <w:rPr>
                <w:color w:val="000000"/>
                <w:sz w:val="26"/>
                <w:szCs w:val="26"/>
              </w:rPr>
            </w:pPr>
            <w:r>
              <w:rPr>
                <w:color w:val="000000"/>
                <w:sz w:val="26"/>
                <w:szCs w:val="26"/>
              </w:rPr>
              <w:t>Charging via AC electrical connection at 208 volts or 240 volts at up to 80 amps.</w:t>
            </w:r>
          </w:p>
        </w:tc>
      </w:tr>
      <w:tr w:rsidR="00ED354D" w14:paraId="22D47F02" w14:textId="77777777">
        <w:trPr>
          <w:trHeight w:val="960"/>
        </w:trPr>
        <w:tc>
          <w:tcPr>
            <w:tcW w:w="4789" w:type="dxa"/>
          </w:tcPr>
          <w:p w14:paraId="64083C28" w14:textId="77777777" w:rsidR="00ED354D" w:rsidRDefault="00FF4B85">
            <w:pPr>
              <w:pBdr>
                <w:top w:val="nil"/>
                <w:left w:val="nil"/>
                <w:bottom w:val="nil"/>
                <w:right w:val="nil"/>
                <w:between w:val="nil"/>
              </w:pBdr>
              <w:spacing w:line="323" w:lineRule="auto"/>
              <w:ind w:left="107" w:hanging="107"/>
              <w:rPr>
                <w:color w:val="000000"/>
                <w:sz w:val="26"/>
                <w:szCs w:val="26"/>
              </w:rPr>
            </w:pPr>
            <w:r>
              <w:rPr>
                <w:color w:val="000000"/>
                <w:sz w:val="26"/>
                <w:szCs w:val="26"/>
              </w:rPr>
              <w:t>DC Fast Charging</w:t>
            </w:r>
          </w:p>
        </w:tc>
        <w:tc>
          <w:tcPr>
            <w:tcW w:w="4789" w:type="dxa"/>
          </w:tcPr>
          <w:p w14:paraId="2AF8B8C1" w14:textId="77777777" w:rsidR="00ED354D" w:rsidRDefault="00FF4B85">
            <w:pPr>
              <w:pBdr>
                <w:top w:val="nil"/>
                <w:left w:val="nil"/>
                <w:bottom w:val="nil"/>
                <w:right w:val="nil"/>
                <w:between w:val="nil"/>
              </w:pBdr>
              <w:ind w:left="107" w:right="66" w:hanging="107"/>
              <w:rPr>
                <w:color w:val="000000"/>
                <w:sz w:val="26"/>
                <w:szCs w:val="26"/>
              </w:rPr>
            </w:pPr>
            <w:r>
              <w:rPr>
                <w:color w:val="000000"/>
                <w:sz w:val="26"/>
                <w:szCs w:val="26"/>
              </w:rPr>
              <w:t>Charging via DC electrical connection using off-board AC/DC equipment at a fast rate.  Not all EVs have this connector.</w:t>
            </w:r>
          </w:p>
        </w:tc>
      </w:tr>
      <w:tr w:rsidR="00ED354D" w14:paraId="6DB98D9F" w14:textId="77777777">
        <w:trPr>
          <w:trHeight w:val="3220"/>
        </w:trPr>
        <w:tc>
          <w:tcPr>
            <w:tcW w:w="4789" w:type="dxa"/>
          </w:tcPr>
          <w:p w14:paraId="4D1940B9" w14:textId="77777777" w:rsidR="00ED354D" w:rsidRDefault="00FF4B85">
            <w:pPr>
              <w:pBdr>
                <w:top w:val="nil"/>
                <w:left w:val="nil"/>
                <w:bottom w:val="nil"/>
                <w:right w:val="nil"/>
                <w:between w:val="nil"/>
              </w:pBdr>
              <w:spacing w:before="2"/>
              <w:ind w:left="107" w:right="688" w:hanging="107"/>
              <w:rPr>
                <w:color w:val="000000"/>
                <w:sz w:val="26"/>
                <w:szCs w:val="26"/>
              </w:rPr>
            </w:pPr>
            <w:r>
              <w:rPr>
                <w:color w:val="000000"/>
                <w:sz w:val="26"/>
                <w:szCs w:val="26"/>
              </w:rPr>
              <w:t>CHAdeMO and/or CCS Charging Connector Standards</w:t>
            </w:r>
          </w:p>
        </w:tc>
        <w:tc>
          <w:tcPr>
            <w:tcW w:w="4789" w:type="dxa"/>
          </w:tcPr>
          <w:p w14:paraId="5CD4E09B" w14:textId="7FB03D03" w:rsidR="00ED354D" w:rsidRDefault="00FF4B85">
            <w:pPr>
              <w:pBdr>
                <w:top w:val="nil"/>
                <w:left w:val="nil"/>
                <w:bottom w:val="nil"/>
                <w:right w:val="nil"/>
                <w:between w:val="nil"/>
              </w:pBdr>
              <w:spacing w:before="2"/>
              <w:ind w:left="107" w:right="114" w:hanging="107"/>
              <w:rPr>
                <w:color w:val="000000"/>
                <w:sz w:val="26"/>
                <w:szCs w:val="26"/>
              </w:rPr>
            </w:pPr>
            <w:r>
              <w:rPr>
                <w:color w:val="000000"/>
                <w:sz w:val="26"/>
                <w:szCs w:val="26"/>
              </w:rPr>
              <w:t>Th</w:t>
            </w:r>
            <w:r w:rsidR="00F6700E">
              <w:rPr>
                <w:color w:val="000000"/>
                <w:sz w:val="26"/>
                <w:szCs w:val="26"/>
              </w:rPr>
              <w:t>ere</w:t>
            </w:r>
            <w:r>
              <w:rPr>
                <w:color w:val="000000"/>
                <w:sz w:val="26"/>
                <w:szCs w:val="26"/>
              </w:rPr>
              <w:t xml:space="preserve"> are three types of standard</w:t>
            </w:r>
            <w:r w:rsidR="00F6700E">
              <w:rPr>
                <w:color w:val="000000"/>
                <w:sz w:val="26"/>
                <w:szCs w:val="26"/>
              </w:rPr>
              <w:t xml:space="preserve"> </w:t>
            </w:r>
            <w:r>
              <w:rPr>
                <w:color w:val="000000"/>
                <w:sz w:val="26"/>
                <w:szCs w:val="26"/>
              </w:rPr>
              <w:t xml:space="preserve">charging connectors for Direct Current Fast Charging. Vehicles capable of DC fast charging will have one of these ports on the vehicle. Other nonstandard connectors include Tesla and BYD. Most public DCFC currently deployed in California includes standard CHAdeMO </w:t>
            </w:r>
            <w:r w:rsidR="00DF5F98">
              <w:rPr>
                <w:color w:val="000000"/>
                <w:sz w:val="26"/>
                <w:szCs w:val="26"/>
              </w:rPr>
              <w:t>and/</w:t>
            </w:r>
            <w:r>
              <w:rPr>
                <w:color w:val="000000"/>
                <w:sz w:val="26"/>
                <w:szCs w:val="26"/>
              </w:rPr>
              <w:t>or CCS Type 1</w:t>
            </w:r>
            <w:r w:rsidR="00DF5F98">
              <w:rPr>
                <w:color w:val="000000"/>
                <w:sz w:val="26"/>
                <w:szCs w:val="26"/>
              </w:rPr>
              <w:t xml:space="preserve"> charging connectors.</w:t>
            </w:r>
          </w:p>
        </w:tc>
      </w:tr>
      <w:tr w:rsidR="00ED354D" w14:paraId="423C7507" w14:textId="77777777">
        <w:trPr>
          <w:trHeight w:val="320"/>
        </w:trPr>
        <w:tc>
          <w:tcPr>
            <w:tcW w:w="4789" w:type="dxa"/>
          </w:tcPr>
          <w:p w14:paraId="027AFB83"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IOU(s)</w:t>
            </w:r>
          </w:p>
        </w:tc>
        <w:tc>
          <w:tcPr>
            <w:tcW w:w="4789" w:type="dxa"/>
          </w:tcPr>
          <w:p w14:paraId="430F6FAF" w14:textId="77777777" w:rsidR="00ED354D" w:rsidRDefault="00FF4B85">
            <w:pPr>
              <w:pBdr>
                <w:top w:val="nil"/>
                <w:left w:val="nil"/>
                <w:bottom w:val="nil"/>
                <w:right w:val="nil"/>
                <w:between w:val="nil"/>
              </w:pBdr>
              <w:spacing w:line="304" w:lineRule="auto"/>
              <w:ind w:left="107" w:hanging="107"/>
              <w:rPr>
                <w:color w:val="000000"/>
                <w:sz w:val="26"/>
                <w:szCs w:val="26"/>
              </w:rPr>
            </w:pPr>
            <w:r>
              <w:rPr>
                <w:color w:val="000000"/>
                <w:sz w:val="26"/>
                <w:szCs w:val="26"/>
              </w:rPr>
              <w:t>Investor Owned Utility(ies)</w:t>
            </w:r>
          </w:p>
        </w:tc>
      </w:tr>
      <w:tr w:rsidR="00C76265" w14:paraId="540176B8" w14:textId="77777777">
        <w:trPr>
          <w:trHeight w:val="320"/>
        </w:trPr>
        <w:tc>
          <w:tcPr>
            <w:tcW w:w="4789" w:type="dxa"/>
          </w:tcPr>
          <w:p w14:paraId="7420CC96" w14:textId="77777777" w:rsidR="00C76265" w:rsidRDefault="00C76265">
            <w:pPr>
              <w:pBdr>
                <w:top w:val="nil"/>
                <w:left w:val="nil"/>
                <w:bottom w:val="nil"/>
                <w:right w:val="nil"/>
                <w:between w:val="nil"/>
              </w:pBdr>
              <w:spacing w:line="304" w:lineRule="auto"/>
              <w:ind w:left="107" w:hanging="107"/>
              <w:rPr>
                <w:color w:val="000000"/>
                <w:sz w:val="26"/>
                <w:szCs w:val="26"/>
              </w:rPr>
            </w:pPr>
            <w:r>
              <w:rPr>
                <w:color w:val="000000"/>
                <w:sz w:val="26"/>
                <w:szCs w:val="26"/>
              </w:rPr>
              <w:t>NRTL</w:t>
            </w:r>
          </w:p>
        </w:tc>
        <w:tc>
          <w:tcPr>
            <w:tcW w:w="4789" w:type="dxa"/>
          </w:tcPr>
          <w:p w14:paraId="295599FE" w14:textId="77777777" w:rsidR="00C76265" w:rsidRDefault="00C76265">
            <w:pPr>
              <w:pBdr>
                <w:top w:val="nil"/>
                <w:left w:val="nil"/>
                <w:bottom w:val="nil"/>
                <w:right w:val="nil"/>
                <w:between w:val="nil"/>
              </w:pBdr>
              <w:spacing w:line="304" w:lineRule="auto"/>
              <w:ind w:left="107" w:hanging="107"/>
              <w:rPr>
                <w:color w:val="000000"/>
                <w:sz w:val="26"/>
                <w:szCs w:val="26"/>
              </w:rPr>
            </w:pPr>
            <w:r>
              <w:rPr>
                <w:color w:val="000000"/>
                <w:sz w:val="26"/>
                <w:szCs w:val="26"/>
              </w:rPr>
              <w:t>Nationally Recognized Testing Lab</w:t>
            </w:r>
          </w:p>
        </w:tc>
      </w:tr>
    </w:tbl>
    <w:p w14:paraId="57345BB1" w14:textId="77777777" w:rsidR="00ED354D" w:rsidRDefault="00ED354D">
      <w:pPr>
        <w:pBdr>
          <w:top w:val="nil"/>
          <w:left w:val="nil"/>
          <w:bottom w:val="nil"/>
          <w:right w:val="nil"/>
          <w:between w:val="nil"/>
        </w:pBdr>
        <w:rPr>
          <w:color w:val="000000"/>
          <w:sz w:val="20"/>
          <w:szCs w:val="20"/>
        </w:rPr>
      </w:pPr>
    </w:p>
    <w:p w14:paraId="069CC2B9" w14:textId="4D95DB42" w:rsidR="00900F9D" w:rsidRPr="00CE5724" w:rsidRDefault="00900F9D" w:rsidP="00900F9D">
      <w:pPr>
        <w:pStyle w:val="Heading1"/>
        <w:spacing w:before="1"/>
        <w:rPr>
          <w:b w:val="0"/>
        </w:rPr>
      </w:pPr>
      <w:r>
        <w:rPr>
          <w:u w:val="single"/>
        </w:rPr>
        <w:t>Pre-</w:t>
      </w:r>
      <w:r>
        <w:rPr>
          <w:u w:val="single"/>
        </w:rPr>
        <w:t>Construction</w:t>
      </w:r>
      <w:r>
        <w:rPr>
          <w:b w:val="0"/>
        </w:rPr>
        <w:t>:</w:t>
      </w:r>
    </w:p>
    <w:p w14:paraId="55074875" w14:textId="2C45583E" w:rsidR="00ED354D" w:rsidRDefault="00FF4B85">
      <w:pPr>
        <w:pBdr>
          <w:top w:val="nil"/>
          <w:left w:val="nil"/>
          <w:bottom w:val="nil"/>
          <w:right w:val="nil"/>
          <w:between w:val="nil"/>
        </w:pBdr>
        <w:spacing w:before="90"/>
        <w:ind w:left="220"/>
        <w:rPr>
          <w:color w:val="000000"/>
          <w:sz w:val="26"/>
          <w:szCs w:val="26"/>
        </w:rPr>
      </w:pPr>
      <w:bookmarkStart w:id="1" w:name="_GoBack"/>
      <w:bookmarkEnd w:id="1"/>
      <w:r>
        <w:rPr>
          <w:color w:val="000000"/>
          <w:sz w:val="26"/>
          <w:szCs w:val="26"/>
        </w:rPr>
        <w:t>These EV charging equipment safety requirements must be specified in procurement documents:</w:t>
      </w:r>
    </w:p>
    <w:p w14:paraId="1373870D" w14:textId="77777777" w:rsidR="00ED354D" w:rsidRDefault="00ED354D">
      <w:pPr>
        <w:pBdr>
          <w:top w:val="nil"/>
          <w:left w:val="nil"/>
          <w:bottom w:val="nil"/>
          <w:right w:val="nil"/>
          <w:between w:val="nil"/>
        </w:pBdr>
        <w:rPr>
          <w:color w:val="000000"/>
          <w:sz w:val="26"/>
          <w:szCs w:val="26"/>
        </w:rPr>
      </w:pPr>
    </w:p>
    <w:p w14:paraId="1FC7A530" w14:textId="0E55AC0A" w:rsidR="00F6700E" w:rsidRPr="00F6700E" w:rsidRDefault="006E0461" w:rsidP="00F6700E">
      <w:pPr>
        <w:numPr>
          <w:ilvl w:val="0"/>
          <w:numId w:val="3"/>
        </w:numPr>
        <w:pBdr>
          <w:top w:val="nil"/>
          <w:left w:val="nil"/>
          <w:bottom w:val="nil"/>
          <w:right w:val="nil"/>
          <w:between w:val="nil"/>
        </w:pBdr>
        <w:tabs>
          <w:tab w:val="left" w:pos="941"/>
        </w:tabs>
        <w:spacing w:before="1"/>
        <w:ind w:right="224"/>
        <w:rPr>
          <w:color w:val="000000"/>
          <w:sz w:val="26"/>
          <w:szCs w:val="26"/>
        </w:rPr>
        <w:sectPr w:rsidR="00F6700E" w:rsidRPr="00F6700E">
          <w:footnotePr>
            <w:numStart w:val="3"/>
          </w:footnotePr>
          <w:type w:val="continuous"/>
          <w:pgSz w:w="12240" w:h="15840"/>
          <w:pgMar w:top="1380" w:right="1220" w:bottom="280" w:left="1220" w:header="720" w:footer="720" w:gutter="0"/>
          <w:cols w:space="720"/>
        </w:sectPr>
      </w:pPr>
      <w:r w:rsidRPr="00F6700E">
        <w:rPr>
          <w:color w:val="000000"/>
          <w:sz w:val="26"/>
          <w:szCs w:val="26"/>
        </w:rPr>
        <w:t>All</w:t>
      </w:r>
      <w:r w:rsidR="008F6DC0" w:rsidRPr="00F6700E">
        <w:rPr>
          <w:color w:val="000000"/>
          <w:sz w:val="26"/>
          <w:szCs w:val="26"/>
        </w:rPr>
        <w:t xml:space="preserve"> c</w:t>
      </w:r>
      <w:r w:rsidR="00FF4B85" w:rsidRPr="00F6700E">
        <w:rPr>
          <w:color w:val="000000"/>
          <w:sz w:val="26"/>
          <w:szCs w:val="26"/>
        </w:rPr>
        <w:t xml:space="preserve">harging equipment </w:t>
      </w:r>
      <w:r w:rsidR="008F6DC0" w:rsidRPr="00F6700E">
        <w:rPr>
          <w:color w:val="000000"/>
          <w:sz w:val="26"/>
          <w:szCs w:val="26"/>
        </w:rPr>
        <w:t xml:space="preserve">being installed through the small IOUs’ programs </w:t>
      </w:r>
      <w:r w:rsidR="00571810">
        <w:rPr>
          <w:color w:val="000000"/>
          <w:sz w:val="26"/>
          <w:szCs w:val="26"/>
        </w:rPr>
        <w:t xml:space="preserve">authorized in D.18-09-034 </w:t>
      </w:r>
      <w:r w:rsidR="00DF5F98" w:rsidRPr="00F6700E">
        <w:rPr>
          <w:color w:val="000000"/>
          <w:sz w:val="26"/>
          <w:szCs w:val="26"/>
        </w:rPr>
        <w:t xml:space="preserve">must </w:t>
      </w:r>
      <w:r w:rsidR="008F6DC0" w:rsidRPr="00F6700E">
        <w:rPr>
          <w:color w:val="000000"/>
          <w:sz w:val="26"/>
          <w:szCs w:val="26"/>
        </w:rPr>
        <w:t>have UL certification</w:t>
      </w:r>
      <w:r w:rsidR="00F6700E" w:rsidRPr="00F6700E">
        <w:rPr>
          <w:color w:val="000000"/>
          <w:sz w:val="26"/>
          <w:szCs w:val="26"/>
        </w:rPr>
        <w:t>, and comply with the Americans with Disabilities Act (ADA), 42 U.S.C. § 12101 et seq., and California Building Code Chapter 11B</w:t>
      </w:r>
      <w:r w:rsidR="00F6700E">
        <w:rPr>
          <w:color w:val="000000"/>
          <w:sz w:val="26"/>
          <w:szCs w:val="26"/>
        </w:rPr>
        <w:t>,</w:t>
      </w:r>
      <w:r w:rsidR="00F6700E">
        <w:rPr>
          <w:rStyle w:val="FootnoteReference"/>
          <w:color w:val="000000"/>
          <w:sz w:val="26"/>
          <w:szCs w:val="26"/>
        </w:rPr>
        <w:footnoteReference w:id="1"/>
      </w:r>
      <w:r w:rsidR="00F6700E">
        <w:rPr>
          <w:color w:val="000000"/>
          <w:sz w:val="26"/>
          <w:szCs w:val="26"/>
        </w:rPr>
        <w:t xml:space="preserve"> if applicable, per the AHJ where the EVSE will be installed, unless the appropriate waiver is obtained from local authorities.</w:t>
      </w:r>
    </w:p>
    <w:p w14:paraId="643CF0C7" w14:textId="77777777" w:rsidR="00ED354D" w:rsidRDefault="00DF5F98">
      <w:pPr>
        <w:numPr>
          <w:ilvl w:val="0"/>
          <w:numId w:val="3"/>
        </w:numPr>
        <w:pBdr>
          <w:top w:val="nil"/>
          <w:left w:val="nil"/>
          <w:bottom w:val="nil"/>
          <w:right w:val="nil"/>
          <w:between w:val="nil"/>
        </w:pBdr>
        <w:tabs>
          <w:tab w:val="left" w:pos="941"/>
        </w:tabs>
        <w:ind w:right="421"/>
        <w:rPr>
          <w:color w:val="000000"/>
        </w:rPr>
      </w:pPr>
      <w:r>
        <w:rPr>
          <w:color w:val="000000"/>
          <w:sz w:val="26"/>
          <w:szCs w:val="26"/>
        </w:rPr>
        <w:t>Infrastructure must comply</w:t>
      </w:r>
      <w:r w:rsidR="00FF4B85">
        <w:rPr>
          <w:color w:val="000000"/>
          <w:sz w:val="26"/>
          <w:szCs w:val="26"/>
        </w:rPr>
        <w:t xml:space="preserve"> with applicable safety performance </w:t>
      </w:r>
      <w:r w:rsidR="00FF4B85">
        <w:rPr>
          <w:color w:val="000000"/>
          <w:sz w:val="26"/>
          <w:szCs w:val="26"/>
        </w:rPr>
        <w:lastRenderedPageBreak/>
        <w:t xml:space="preserve">requirements associated with the type of TE infrastructure being installed. </w:t>
      </w:r>
    </w:p>
    <w:p w14:paraId="10EDE666" w14:textId="2A045FB1" w:rsidR="00ED354D" w:rsidRPr="00571810" w:rsidRDefault="00FF4B85">
      <w:pPr>
        <w:numPr>
          <w:ilvl w:val="1"/>
          <w:numId w:val="3"/>
        </w:numPr>
        <w:pBdr>
          <w:top w:val="nil"/>
          <w:left w:val="nil"/>
          <w:bottom w:val="nil"/>
          <w:right w:val="nil"/>
          <w:between w:val="nil"/>
        </w:pBdr>
        <w:tabs>
          <w:tab w:val="left" w:pos="941"/>
        </w:tabs>
        <w:ind w:right="421"/>
        <w:rPr>
          <w:color w:val="000000"/>
        </w:rPr>
      </w:pPr>
      <w:r>
        <w:rPr>
          <w:color w:val="000000"/>
          <w:sz w:val="26"/>
          <w:szCs w:val="26"/>
        </w:rPr>
        <w:t xml:space="preserve">For </w:t>
      </w:r>
      <w:r w:rsidRPr="00DF5F98">
        <w:rPr>
          <w:sz w:val="26"/>
          <w:szCs w:val="26"/>
        </w:rPr>
        <w:t>light-duty vehicle</w:t>
      </w:r>
      <w:r w:rsidR="00571810">
        <w:rPr>
          <w:sz w:val="26"/>
          <w:szCs w:val="26"/>
        </w:rPr>
        <w:t xml:space="preserve"> EV charging equipment</w:t>
      </w:r>
      <w:r w:rsidRPr="00DF5F98">
        <w:rPr>
          <w:sz w:val="26"/>
          <w:szCs w:val="26"/>
        </w:rPr>
        <w:t xml:space="preserve">, compliance with the </w:t>
      </w:r>
      <w:r>
        <w:rPr>
          <w:color w:val="000000"/>
          <w:sz w:val="26"/>
          <w:szCs w:val="26"/>
        </w:rPr>
        <w:t xml:space="preserve">Society of Automotive Engineers (SAE) J-1772 Standard for Level 1 or Level 2 charging. Compliance with CHAdeMO and </w:t>
      </w:r>
      <w:r w:rsidR="00DF5F98">
        <w:rPr>
          <w:color w:val="000000"/>
          <w:sz w:val="26"/>
          <w:szCs w:val="26"/>
        </w:rPr>
        <w:t>CCS for</w:t>
      </w:r>
      <w:r>
        <w:rPr>
          <w:color w:val="000000"/>
          <w:sz w:val="26"/>
          <w:szCs w:val="26"/>
        </w:rPr>
        <w:t xml:space="preserve"> DC fast charging would be</w:t>
      </w:r>
      <w:r w:rsidRPr="00DF5F98">
        <w:rPr>
          <w:sz w:val="26"/>
          <w:szCs w:val="26"/>
        </w:rPr>
        <w:t xml:space="preserve"> appropriate evidence of compliance with this requirement</w:t>
      </w:r>
      <w:r>
        <w:rPr>
          <w:color w:val="000000"/>
          <w:sz w:val="26"/>
          <w:szCs w:val="26"/>
        </w:rPr>
        <w:t>.</w:t>
      </w:r>
    </w:p>
    <w:p w14:paraId="6178A66B" w14:textId="1EB5BFE6" w:rsidR="00571810" w:rsidRDefault="00571810">
      <w:pPr>
        <w:numPr>
          <w:ilvl w:val="1"/>
          <w:numId w:val="3"/>
        </w:numPr>
        <w:pBdr>
          <w:top w:val="nil"/>
          <w:left w:val="nil"/>
          <w:bottom w:val="nil"/>
          <w:right w:val="nil"/>
          <w:between w:val="nil"/>
        </w:pBdr>
        <w:tabs>
          <w:tab w:val="left" w:pos="941"/>
        </w:tabs>
        <w:ind w:right="421"/>
        <w:rPr>
          <w:color w:val="000000"/>
        </w:rPr>
      </w:pPr>
      <w:r>
        <w:rPr>
          <w:color w:val="000000"/>
          <w:sz w:val="26"/>
          <w:szCs w:val="26"/>
        </w:rPr>
        <w:t xml:space="preserve">All light-duty vehicle EV charging equipment supported by IOU funding should be UL listed. </w:t>
      </w:r>
    </w:p>
    <w:p w14:paraId="11ACA44F" w14:textId="06EDD5A7" w:rsidR="00ED354D" w:rsidRDefault="00FF4B85">
      <w:pPr>
        <w:numPr>
          <w:ilvl w:val="1"/>
          <w:numId w:val="3"/>
        </w:numPr>
        <w:pBdr>
          <w:top w:val="nil"/>
          <w:left w:val="nil"/>
          <w:bottom w:val="nil"/>
          <w:right w:val="nil"/>
          <w:between w:val="nil"/>
        </w:pBdr>
        <w:tabs>
          <w:tab w:val="left" w:pos="941"/>
        </w:tabs>
        <w:ind w:right="421"/>
        <w:rPr>
          <w:sz w:val="26"/>
          <w:szCs w:val="26"/>
        </w:rPr>
      </w:pPr>
      <w:r w:rsidRPr="00DF5F98">
        <w:rPr>
          <w:sz w:val="26"/>
          <w:szCs w:val="26"/>
        </w:rPr>
        <w:t>For other types of TE infrastructure, including any non-standardized EVSE</w:t>
      </w:r>
      <w:r w:rsidR="00EF7A8F">
        <w:rPr>
          <w:sz w:val="26"/>
          <w:szCs w:val="26"/>
        </w:rPr>
        <w:t xml:space="preserve"> for medium- and heavy-duty sector applications</w:t>
      </w:r>
      <w:r w:rsidRPr="00DF5F98">
        <w:rPr>
          <w:sz w:val="26"/>
          <w:szCs w:val="26"/>
        </w:rPr>
        <w:t>, the following basic connector safety measures will be required:</w:t>
      </w:r>
    </w:p>
    <w:p w14:paraId="27282898" w14:textId="77777777" w:rsidR="00ED354D" w:rsidRDefault="00FF4B85">
      <w:pPr>
        <w:numPr>
          <w:ilvl w:val="2"/>
          <w:numId w:val="3"/>
        </w:numPr>
        <w:pBdr>
          <w:top w:val="nil"/>
          <w:left w:val="nil"/>
          <w:bottom w:val="nil"/>
          <w:right w:val="nil"/>
          <w:between w:val="nil"/>
        </w:pBdr>
        <w:tabs>
          <w:tab w:val="left" w:pos="941"/>
        </w:tabs>
        <w:ind w:right="421"/>
        <w:rPr>
          <w:sz w:val="26"/>
          <w:szCs w:val="26"/>
        </w:rPr>
      </w:pPr>
      <w:r w:rsidRPr="00DF5F98">
        <w:rPr>
          <w:sz w:val="26"/>
          <w:szCs w:val="26"/>
        </w:rPr>
        <w:t>A passing EVSE safety performance evaluation report performed by a Nationally Recognized Testing Lab (NRTL)</w:t>
      </w:r>
      <w:r w:rsidR="00C76265">
        <w:rPr>
          <w:sz w:val="26"/>
          <w:szCs w:val="26"/>
        </w:rPr>
        <w:t>;</w:t>
      </w:r>
      <w:r w:rsidRPr="00DF5F98">
        <w:rPr>
          <w:sz w:val="26"/>
          <w:szCs w:val="26"/>
        </w:rPr>
        <w:t xml:space="preserve"> </w:t>
      </w:r>
    </w:p>
    <w:p w14:paraId="4AAA040B" w14:textId="77777777" w:rsidR="00ED354D" w:rsidRDefault="00FF4B85">
      <w:pPr>
        <w:numPr>
          <w:ilvl w:val="2"/>
          <w:numId w:val="3"/>
        </w:numPr>
        <w:pBdr>
          <w:top w:val="nil"/>
          <w:left w:val="nil"/>
          <w:bottom w:val="nil"/>
          <w:right w:val="nil"/>
          <w:between w:val="nil"/>
        </w:pBdr>
        <w:tabs>
          <w:tab w:val="left" w:pos="941"/>
        </w:tabs>
        <w:ind w:right="421"/>
        <w:rPr>
          <w:sz w:val="26"/>
          <w:szCs w:val="26"/>
        </w:rPr>
      </w:pPr>
      <w:r w:rsidRPr="00DF5F98">
        <w:rPr>
          <w:sz w:val="26"/>
          <w:szCs w:val="26"/>
        </w:rPr>
        <w:t xml:space="preserve">When not connected, the vehicle inlet and the EVSE connector must be designed to prevent direct contact </w:t>
      </w:r>
      <w:r w:rsidR="00C76265" w:rsidRPr="00DF5F98">
        <w:rPr>
          <w:sz w:val="26"/>
          <w:szCs w:val="26"/>
        </w:rPr>
        <w:t>wi</w:t>
      </w:r>
      <w:r w:rsidR="00C76265">
        <w:rPr>
          <w:sz w:val="26"/>
          <w:szCs w:val="26"/>
        </w:rPr>
        <w:t>th</w:t>
      </w:r>
      <w:r w:rsidR="00C76265" w:rsidRPr="00DF5F98">
        <w:rPr>
          <w:sz w:val="26"/>
          <w:szCs w:val="26"/>
        </w:rPr>
        <w:t xml:space="preserve"> </w:t>
      </w:r>
      <w:r w:rsidRPr="00DF5F98">
        <w:rPr>
          <w:sz w:val="26"/>
          <w:szCs w:val="26"/>
        </w:rPr>
        <w:t>any live components</w:t>
      </w:r>
      <w:r w:rsidR="00C76265">
        <w:rPr>
          <w:sz w:val="26"/>
          <w:szCs w:val="26"/>
        </w:rPr>
        <w:t>;</w:t>
      </w:r>
    </w:p>
    <w:p w14:paraId="7769F601" w14:textId="77777777" w:rsidR="00ED354D" w:rsidRDefault="00FF4B85">
      <w:pPr>
        <w:numPr>
          <w:ilvl w:val="2"/>
          <w:numId w:val="3"/>
        </w:numPr>
        <w:pBdr>
          <w:top w:val="nil"/>
          <w:left w:val="nil"/>
          <w:bottom w:val="nil"/>
          <w:right w:val="nil"/>
          <w:between w:val="nil"/>
        </w:pBdr>
        <w:tabs>
          <w:tab w:val="left" w:pos="941"/>
        </w:tabs>
        <w:ind w:right="421"/>
        <w:rPr>
          <w:sz w:val="26"/>
          <w:szCs w:val="26"/>
        </w:rPr>
      </w:pPr>
      <w:r w:rsidRPr="00DF5F98">
        <w:rPr>
          <w:sz w:val="26"/>
          <w:szCs w:val="26"/>
        </w:rPr>
        <w:t>The vehicle inlet and EVSE connector shall be free of sharp edges and potentially injurious protrusions</w:t>
      </w:r>
      <w:r w:rsidR="00C76265">
        <w:rPr>
          <w:sz w:val="26"/>
          <w:szCs w:val="26"/>
        </w:rPr>
        <w:t>;</w:t>
      </w:r>
    </w:p>
    <w:p w14:paraId="370F86AA" w14:textId="77777777" w:rsidR="00ED354D" w:rsidRDefault="00FF4B85" w:rsidP="00DF5F98">
      <w:pPr>
        <w:numPr>
          <w:ilvl w:val="2"/>
          <w:numId w:val="3"/>
        </w:numPr>
        <w:pBdr>
          <w:top w:val="nil"/>
          <w:left w:val="nil"/>
          <w:bottom w:val="nil"/>
          <w:right w:val="nil"/>
          <w:between w:val="nil"/>
        </w:pBdr>
        <w:tabs>
          <w:tab w:val="left" w:pos="941"/>
        </w:tabs>
        <w:ind w:right="421"/>
        <w:rPr>
          <w:color w:val="000000"/>
        </w:rPr>
      </w:pPr>
      <w:r w:rsidRPr="00DF5F98">
        <w:rPr>
          <w:sz w:val="26"/>
          <w:szCs w:val="26"/>
        </w:rPr>
        <w:t>The coupler between the vehicle and the EVSE should avoid or mitigate any potentially hazardous conditions such as fires, electrical shock to users, or other personal injuries</w:t>
      </w:r>
      <w:r w:rsidR="00C76265">
        <w:rPr>
          <w:sz w:val="26"/>
          <w:szCs w:val="26"/>
        </w:rPr>
        <w:t>.</w:t>
      </w:r>
    </w:p>
    <w:p w14:paraId="69ADFCCD" w14:textId="112B889B" w:rsidR="00ED354D" w:rsidRDefault="00DF5F98">
      <w:pPr>
        <w:numPr>
          <w:ilvl w:val="0"/>
          <w:numId w:val="3"/>
        </w:numPr>
        <w:pBdr>
          <w:top w:val="nil"/>
          <w:left w:val="nil"/>
          <w:bottom w:val="nil"/>
          <w:right w:val="nil"/>
          <w:between w:val="nil"/>
        </w:pBdr>
        <w:tabs>
          <w:tab w:val="left" w:pos="941"/>
        </w:tabs>
        <w:rPr>
          <w:color w:val="000000"/>
        </w:rPr>
      </w:pPr>
      <w:r>
        <w:rPr>
          <w:color w:val="000000"/>
          <w:sz w:val="26"/>
          <w:szCs w:val="26"/>
        </w:rPr>
        <w:t xml:space="preserve">Infrastructure and its planned installation must comply </w:t>
      </w:r>
      <w:r w:rsidR="00FF4B85">
        <w:rPr>
          <w:color w:val="000000"/>
          <w:sz w:val="26"/>
          <w:szCs w:val="26"/>
        </w:rPr>
        <w:t>with California Electrical Code Article 625.</w:t>
      </w:r>
      <w:r w:rsidR="00D5210C" w:rsidRPr="00D5210C">
        <w:rPr>
          <w:rStyle w:val="FootnoteReference"/>
          <w:color w:val="000000"/>
          <w:sz w:val="24"/>
          <w:szCs w:val="24"/>
        </w:rPr>
        <w:footnoteReference w:customMarkFollows="1" w:id="2"/>
        <w:t>4</w:t>
      </w:r>
    </w:p>
    <w:p w14:paraId="52C82488" w14:textId="16FFA482" w:rsidR="00ED354D" w:rsidRDefault="00F6700E">
      <w:pPr>
        <w:numPr>
          <w:ilvl w:val="0"/>
          <w:numId w:val="3"/>
        </w:numPr>
        <w:pBdr>
          <w:top w:val="nil"/>
          <w:left w:val="nil"/>
          <w:bottom w:val="nil"/>
          <w:right w:val="nil"/>
          <w:between w:val="nil"/>
        </w:pBdr>
        <w:tabs>
          <w:tab w:val="left" w:pos="941"/>
        </w:tabs>
        <w:spacing w:before="1"/>
        <w:ind w:right="224"/>
        <w:rPr>
          <w:color w:val="000000"/>
        </w:rPr>
      </w:pPr>
      <w:r>
        <w:rPr>
          <w:color w:val="000000"/>
          <w:sz w:val="26"/>
          <w:szCs w:val="26"/>
        </w:rPr>
        <w:t>All i</w:t>
      </w:r>
      <w:r w:rsidR="00DF5F98">
        <w:rPr>
          <w:color w:val="000000"/>
          <w:sz w:val="26"/>
          <w:szCs w:val="26"/>
        </w:rPr>
        <w:t xml:space="preserve">nfrastructure </w:t>
      </w:r>
      <w:r w:rsidR="00EF7A8F">
        <w:rPr>
          <w:color w:val="000000"/>
          <w:sz w:val="26"/>
          <w:szCs w:val="26"/>
        </w:rPr>
        <w:t>installed</w:t>
      </w:r>
      <w:r>
        <w:rPr>
          <w:color w:val="000000"/>
          <w:sz w:val="26"/>
          <w:szCs w:val="26"/>
        </w:rPr>
        <w:t xml:space="preserve"> through the IOUs’ programs</w:t>
      </w:r>
      <w:r w:rsidR="00DF5F98">
        <w:rPr>
          <w:color w:val="000000"/>
          <w:sz w:val="26"/>
          <w:szCs w:val="26"/>
        </w:rPr>
        <w:t xml:space="preserve"> must comply</w:t>
      </w:r>
      <w:r w:rsidR="00FF4B85">
        <w:rPr>
          <w:color w:val="000000"/>
          <w:sz w:val="26"/>
          <w:szCs w:val="26"/>
        </w:rPr>
        <w:t xml:space="preserve"> with </w:t>
      </w:r>
      <w:r w:rsidR="004B11F7">
        <w:rPr>
          <w:color w:val="000000"/>
          <w:sz w:val="26"/>
          <w:szCs w:val="26"/>
        </w:rPr>
        <w:t xml:space="preserve">the </w:t>
      </w:r>
      <w:r w:rsidR="00FF4B85">
        <w:rPr>
          <w:color w:val="000000"/>
          <w:sz w:val="26"/>
          <w:szCs w:val="26"/>
        </w:rPr>
        <w:t>Americans with Disabilities Act (ADA),</w:t>
      </w:r>
      <w:r w:rsidR="004B11F7">
        <w:rPr>
          <w:color w:val="000000"/>
          <w:sz w:val="26"/>
          <w:szCs w:val="26"/>
        </w:rPr>
        <w:t xml:space="preserve"> 42 U.S.C. § 12101 et seq.,</w:t>
      </w:r>
      <w:r w:rsidR="00FF4B85">
        <w:rPr>
          <w:color w:val="000000"/>
          <w:sz w:val="26"/>
          <w:szCs w:val="26"/>
        </w:rPr>
        <w:t xml:space="preserve"> </w:t>
      </w:r>
      <w:r w:rsidR="005D3EE9">
        <w:rPr>
          <w:color w:val="000000"/>
          <w:sz w:val="26"/>
          <w:szCs w:val="26"/>
        </w:rPr>
        <w:t>and California Building Code Chapter 11B,</w:t>
      </w:r>
      <w:r w:rsidR="005D3EE9" w:rsidRPr="005D3EE9">
        <w:rPr>
          <w:color w:val="000000"/>
          <w:sz w:val="28"/>
          <w:szCs w:val="28"/>
          <w:vertAlign w:val="superscript"/>
        </w:rPr>
        <w:t xml:space="preserve"> </w:t>
      </w:r>
      <w:r w:rsidR="005D3EE9">
        <w:rPr>
          <w:color w:val="000000"/>
          <w:sz w:val="28"/>
          <w:szCs w:val="28"/>
          <w:vertAlign w:val="superscript"/>
        </w:rPr>
        <w:t>3</w:t>
      </w:r>
      <w:r w:rsidR="005D3EE9">
        <w:rPr>
          <w:color w:val="000000"/>
          <w:sz w:val="26"/>
          <w:szCs w:val="26"/>
        </w:rPr>
        <w:t xml:space="preserve"> </w:t>
      </w:r>
      <w:r w:rsidR="00FF4B85">
        <w:rPr>
          <w:color w:val="000000"/>
          <w:sz w:val="26"/>
          <w:szCs w:val="26"/>
        </w:rPr>
        <w:t>if applicable, per the AHJ where the EVSE will be installed, unless the appropriate waiver is obtained from local authorities.</w:t>
      </w:r>
    </w:p>
    <w:p w14:paraId="520D11A3" w14:textId="23FE4501" w:rsidR="00ED354D" w:rsidRDefault="00ED354D">
      <w:pPr>
        <w:pBdr>
          <w:top w:val="nil"/>
          <w:left w:val="nil"/>
          <w:bottom w:val="nil"/>
          <w:right w:val="nil"/>
          <w:between w:val="nil"/>
        </w:pBdr>
        <w:spacing w:line="276" w:lineRule="auto"/>
        <w:rPr>
          <w:sz w:val="20"/>
          <w:szCs w:val="20"/>
        </w:rPr>
        <w:sectPr w:rsidR="00ED354D">
          <w:type w:val="continuous"/>
          <w:pgSz w:w="12240" w:h="15840"/>
          <w:pgMar w:top="1380" w:right="1220" w:bottom="280" w:left="1220" w:header="720" w:footer="720" w:gutter="0"/>
          <w:cols w:space="720"/>
        </w:sectPr>
      </w:pPr>
    </w:p>
    <w:p w14:paraId="5A6A8D4E" w14:textId="78CB4004" w:rsidR="00ED354D" w:rsidRPr="00DF5F98" w:rsidRDefault="00FF4B85" w:rsidP="00F6700E">
      <w:pPr>
        <w:numPr>
          <w:ilvl w:val="0"/>
          <w:numId w:val="4"/>
        </w:numPr>
        <w:pBdr>
          <w:top w:val="nil"/>
          <w:left w:val="nil"/>
          <w:bottom w:val="nil"/>
          <w:right w:val="nil"/>
          <w:between w:val="nil"/>
        </w:pBdr>
        <w:tabs>
          <w:tab w:val="left" w:pos="941"/>
        </w:tabs>
        <w:spacing w:before="60"/>
        <w:rPr>
          <w:color w:val="000000"/>
        </w:rPr>
      </w:pPr>
      <w:r>
        <w:rPr>
          <w:color w:val="000000"/>
          <w:sz w:val="26"/>
          <w:szCs w:val="26"/>
        </w:rPr>
        <w:t>Outdoor-mounted EVSE must be rated to be installed for outdoor use</w:t>
      </w:r>
      <w:r w:rsidR="001A13B0">
        <w:rPr>
          <w:color w:val="000000"/>
          <w:sz w:val="26"/>
          <w:szCs w:val="26"/>
        </w:rPr>
        <w:t xml:space="preserve"> as described in the National Electrical Manufacturers’ Association Type </w:t>
      </w:r>
      <w:r w:rsidR="00492A51">
        <w:rPr>
          <w:color w:val="000000"/>
          <w:sz w:val="26"/>
          <w:szCs w:val="26"/>
        </w:rPr>
        <w:t>3</w:t>
      </w:r>
      <w:r w:rsidR="001A13B0">
        <w:rPr>
          <w:color w:val="000000"/>
          <w:sz w:val="26"/>
          <w:szCs w:val="26"/>
        </w:rPr>
        <w:t xml:space="preserve"> rating.</w:t>
      </w:r>
      <w:r w:rsidR="00D5210C" w:rsidRPr="00D5210C">
        <w:rPr>
          <w:rStyle w:val="FootnoteReference"/>
          <w:color w:val="000000"/>
          <w:sz w:val="24"/>
          <w:szCs w:val="24"/>
        </w:rPr>
        <w:footnoteReference w:customMarkFollows="1" w:id="3"/>
        <w:t>5</w:t>
      </w:r>
    </w:p>
    <w:p w14:paraId="723B6704" w14:textId="77777777" w:rsidR="00CE5724" w:rsidRPr="00CE5724" w:rsidRDefault="00FF4B85" w:rsidP="00F6700E">
      <w:pPr>
        <w:numPr>
          <w:ilvl w:val="0"/>
          <w:numId w:val="5"/>
        </w:numPr>
        <w:tabs>
          <w:tab w:val="left" w:pos="941"/>
        </w:tabs>
        <w:spacing w:before="90"/>
        <w:ind w:right="328"/>
      </w:pPr>
      <w:bookmarkStart w:id="2" w:name="_Hlk520905585"/>
      <w:r w:rsidRPr="00DF5F98">
        <w:rPr>
          <w:sz w:val="26"/>
          <w:szCs w:val="26"/>
        </w:rPr>
        <w:lastRenderedPageBreak/>
        <w:t xml:space="preserve">Contractors must provide the utility proof of a full site assessment, including the appropriate load calculations to ensure existing infrastructure can accommodate additional EV load, or that appropriate infrastructure upgrades will be completed. </w:t>
      </w:r>
      <w:bookmarkEnd w:id="2"/>
    </w:p>
    <w:p w14:paraId="6BEC0434" w14:textId="77777777" w:rsidR="00ED354D" w:rsidRPr="00DF5F98" w:rsidRDefault="00ED354D" w:rsidP="00DF5F98">
      <w:pPr>
        <w:tabs>
          <w:tab w:val="left" w:pos="941"/>
        </w:tabs>
        <w:spacing w:before="90"/>
        <w:ind w:left="940" w:right="328"/>
      </w:pPr>
    </w:p>
    <w:p w14:paraId="586A338E" w14:textId="77777777" w:rsidR="00ED354D" w:rsidRPr="00CE5724" w:rsidRDefault="00FF4B85" w:rsidP="00CE5724">
      <w:pPr>
        <w:pStyle w:val="Heading1"/>
        <w:spacing w:before="1"/>
        <w:rPr>
          <w:b w:val="0"/>
        </w:rPr>
      </w:pPr>
      <w:r>
        <w:rPr>
          <w:u w:val="single"/>
        </w:rPr>
        <w:t>During Construction</w:t>
      </w:r>
      <w:r>
        <w:rPr>
          <w:b w:val="0"/>
        </w:rPr>
        <w:t>:</w:t>
      </w:r>
    </w:p>
    <w:p w14:paraId="7D48A161" w14:textId="62AC693A" w:rsidR="00ED354D" w:rsidRPr="00DF5F98" w:rsidRDefault="00FF4B85" w:rsidP="00DF5F98">
      <w:pPr>
        <w:numPr>
          <w:ilvl w:val="0"/>
          <w:numId w:val="2"/>
        </w:numPr>
        <w:pBdr>
          <w:top w:val="nil"/>
          <w:left w:val="nil"/>
          <w:bottom w:val="nil"/>
          <w:right w:val="nil"/>
          <w:between w:val="nil"/>
        </w:pBdr>
        <w:tabs>
          <w:tab w:val="left" w:pos="941"/>
        </w:tabs>
        <w:ind w:right="470"/>
        <w:rPr>
          <w:color w:val="000000"/>
        </w:rPr>
      </w:pPr>
      <w:r>
        <w:rPr>
          <w:color w:val="000000"/>
          <w:sz w:val="26"/>
          <w:szCs w:val="26"/>
        </w:rPr>
        <w:t>All infrastructure work on the customer side of the meter</w:t>
      </w:r>
      <w:r w:rsidR="00F6700E">
        <w:rPr>
          <w:color w:val="000000"/>
          <w:sz w:val="26"/>
          <w:szCs w:val="26"/>
        </w:rPr>
        <w:t xml:space="preserve"> associated with the IOUs’ TE programs</w:t>
      </w:r>
      <w:r>
        <w:rPr>
          <w:color w:val="000000"/>
          <w:sz w:val="26"/>
          <w:szCs w:val="26"/>
        </w:rPr>
        <w:t xml:space="preserve"> not </w:t>
      </w:r>
      <w:r w:rsidR="00F6700E">
        <w:rPr>
          <w:color w:val="000000"/>
          <w:sz w:val="26"/>
          <w:szCs w:val="26"/>
        </w:rPr>
        <w:t>conducted</w:t>
      </w:r>
      <w:r>
        <w:rPr>
          <w:color w:val="000000"/>
          <w:sz w:val="26"/>
          <w:szCs w:val="26"/>
        </w:rPr>
        <w:t xml:space="preserve"> by employees of the IOUs shall be performed by el</w:t>
      </w:r>
      <w:r w:rsidRPr="00DF5F98">
        <w:rPr>
          <w:sz w:val="26"/>
          <w:szCs w:val="26"/>
        </w:rPr>
        <w:t>ectricians</w:t>
      </w:r>
      <w:r w:rsidR="00F6700E">
        <w:rPr>
          <w:sz w:val="26"/>
          <w:szCs w:val="26"/>
        </w:rPr>
        <w:t xml:space="preserve"> </w:t>
      </w:r>
      <w:r w:rsidR="00F6700E">
        <w:rPr>
          <w:color w:val="000000"/>
          <w:sz w:val="26"/>
          <w:szCs w:val="26"/>
        </w:rPr>
        <w:t>fully licensed by the state of California</w:t>
      </w:r>
      <w:r w:rsidRPr="00DF5F98">
        <w:rPr>
          <w:sz w:val="26"/>
          <w:szCs w:val="26"/>
        </w:rPr>
        <w:t xml:space="preserve">. </w:t>
      </w:r>
      <w:r w:rsidR="00B77680">
        <w:rPr>
          <w:sz w:val="26"/>
          <w:szCs w:val="26"/>
        </w:rPr>
        <w:t>A</w:t>
      </w:r>
      <w:r w:rsidR="00CE5724">
        <w:rPr>
          <w:sz w:val="26"/>
          <w:szCs w:val="26"/>
        </w:rPr>
        <w:t>ll</w:t>
      </w:r>
      <w:r w:rsidRPr="00DF5F98">
        <w:rPr>
          <w:sz w:val="26"/>
          <w:szCs w:val="26"/>
        </w:rPr>
        <w:t xml:space="preserve"> electrical </w:t>
      </w:r>
      <w:r>
        <w:rPr>
          <w:color w:val="000000"/>
          <w:sz w:val="26"/>
          <w:szCs w:val="26"/>
        </w:rPr>
        <w:t xml:space="preserve">contractors </w:t>
      </w:r>
      <w:r w:rsidR="00F6700E">
        <w:rPr>
          <w:color w:val="000000"/>
          <w:sz w:val="26"/>
          <w:szCs w:val="26"/>
        </w:rPr>
        <w:t xml:space="preserve">performing infrastructure work as part of the IOUs’ programs </w:t>
      </w:r>
      <w:r w:rsidRPr="00DF5F98">
        <w:rPr>
          <w:sz w:val="26"/>
          <w:szCs w:val="26"/>
        </w:rPr>
        <w:t xml:space="preserve">should </w:t>
      </w:r>
      <w:r>
        <w:rPr>
          <w:color w:val="000000"/>
          <w:sz w:val="26"/>
          <w:szCs w:val="26"/>
        </w:rPr>
        <w:t>hold a valid C-10</w:t>
      </w:r>
      <w:r w:rsidRPr="00DF5F98">
        <w:rPr>
          <w:sz w:val="26"/>
          <w:szCs w:val="26"/>
        </w:rPr>
        <w:t xml:space="preserve"> </w:t>
      </w:r>
      <w:r w:rsidRPr="00DF5F98">
        <w:rPr>
          <w:color w:val="000000"/>
          <w:sz w:val="26"/>
          <w:szCs w:val="26"/>
        </w:rPr>
        <w:t xml:space="preserve">contractor’s </w:t>
      </w:r>
      <w:r w:rsidR="006E0461" w:rsidRPr="00DF5F98">
        <w:rPr>
          <w:color w:val="000000"/>
          <w:sz w:val="26"/>
          <w:szCs w:val="26"/>
        </w:rPr>
        <w:t>license</w:t>
      </w:r>
      <w:r w:rsidR="006E0461">
        <w:rPr>
          <w:color w:val="000000"/>
          <w:sz w:val="26"/>
          <w:szCs w:val="26"/>
        </w:rPr>
        <w:t xml:space="preserve"> or</w:t>
      </w:r>
      <w:r w:rsidR="00B77680">
        <w:rPr>
          <w:color w:val="000000"/>
          <w:sz w:val="26"/>
          <w:szCs w:val="26"/>
        </w:rPr>
        <w:t xml:space="preserve"> be working under a C-10 Contractor and have California electrical certification, as required by the California Code of Regulations, Title 16, Division 8, Article 3. </w:t>
      </w:r>
    </w:p>
    <w:p w14:paraId="6663FB6D" w14:textId="77777777" w:rsidR="00ED354D" w:rsidRDefault="00FF4B85">
      <w:pPr>
        <w:numPr>
          <w:ilvl w:val="0"/>
          <w:numId w:val="2"/>
        </w:numPr>
        <w:pBdr>
          <w:top w:val="nil"/>
          <w:left w:val="nil"/>
          <w:bottom w:val="nil"/>
          <w:right w:val="nil"/>
          <w:between w:val="nil"/>
        </w:pBdr>
        <w:tabs>
          <w:tab w:val="left" w:pos="941"/>
        </w:tabs>
        <w:spacing w:before="1"/>
        <w:ind w:right="684"/>
        <w:rPr>
          <w:color w:val="000000"/>
        </w:rPr>
      </w:pPr>
      <w:r>
        <w:rPr>
          <w:color w:val="000000"/>
          <w:sz w:val="26"/>
          <w:szCs w:val="26"/>
        </w:rPr>
        <w:t>Installations will be designed per Article 625 of the California Electrical Code.</w:t>
      </w:r>
    </w:p>
    <w:p w14:paraId="24B161BC" w14:textId="77777777" w:rsidR="00ED354D" w:rsidRDefault="00ED354D">
      <w:pPr>
        <w:pBdr>
          <w:top w:val="nil"/>
          <w:left w:val="nil"/>
          <w:bottom w:val="nil"/>
          <w:right w:val="nil"/>
          <w:between w:val="nil"/>
        </w:pBdr>
        <w:spacing w:before="11"/>
        <w:rPr>
          <w:color w:val="000000"/>
          <w:sz w:val="25"/>
          <w:szCs w:val="25"/>
        </w:rPr>
      </w:pPr>
    </w:p>
    <w:p w14:paraId="43FF3AAB" w14:textId="77777777" w:rsidR="00ED354D" w:rsidRPr="00CE5724" w:rsidRDefault="00FF4B85" w:rsidP="00CE5724">
      <w:pPr>
        <w:pStyle w:val="Heading1"/>
        <w:rPr>
          <w:b w:val="0"/>
        </w:rPr>
      </w:pPr>
      <w:r>
        <w:rPr>
          <w:u w:val="single"/>
        </w:rPr>
        <w:t>Operational Safety</w:t>
      </w:r>
      <w:r>
        <w:rPr>
          <w:b w:val="0"/>
        </w:rPr>
        <w:t>:</w:t>
      </w:r>
    </w:p>
    <w:p w14:paraId="317A9600" w14:textId="3C633FF3" w:rsidR="00ED354D" w:rsidRDefault="00FF4B85">
      <w:pPr>
        <w:numPr>
          <w:ilvl w:val="0"/>
          <w:numId w:val="1"/>
        </w:numPr>
        <w:pBdr>
          <w:top w:val="nil"/>
          <w:left w:val="nil"/>
          <w:bottom w:val="nil"/>
          <w:right w:val="nil"/>
          <w:between w:val="nil"/>
        </w:pBdr>
        <w:tabs>
          <w:tab w:val="left" w:pos="941"/>
        </w:tabs>
        <w:spacing w:before="90"/>
        <w:ind w:right="1547"/>
        <w:rPr>
          <w:color w:val="000000"/>
        </w:rPr>
      </w:pPr>
      <w:r>
        <w:rPr>
          <w:color w:val="000000"/>
          <w:sz w:val="26"/>
          <w:szCs w:val="26"/>
        </w:rPr>
        <w:t>Overcurrent protection associated with utility transformers and distribution circuits that feed power to the charging stations</w:t>
      </w:r>
      <w:r w:rsidR="00F6700E">
        <w:rPr>
          <w:color w:val="000000"/>
          <w:sz w:val="26"/>
          <w:szCs w:val="26"/>
        </w:rPr>
        <w:t xml:space="preserve"> shall be provided at all locations supported through the IOU programs</w:t>
      </w:r>
      <w:r>
        <w:rPr>
          <w:color w:val="000000"/>
          <w:sz w:val="26"/>
          <w:szCs w:val="26"/>
        </w:rPr>
        <w:t>.</w:t>
      </w:r>
    </w:p>
    <w:p w14:paraId="46D95CB6" w14:textId="6CE1FA71" w:rsidR="00ED354D" w:rsidRDefault="00FF4B85">
      <w:pPr>
        <w:numPr>
          <w:ilvl w:val="0"/>
          <w:numId w:val="1"/>
        </w:numPr>
        <w:pBdr>
          <w:top w:val="nil"/>
          <w:left w:val="nil"/>
          <w:bottom w:val="nil"/>
          <w:right w:val="nil"/>
          <w:between w:val="nil"/>
        </w:pBdr>
        <w:tabs>
          <w:tab w:val="left" w:pos="941"/>
        </w:tabs>
        <w:ind w:right="683"/>
        <w:rPr>
          <w:color w:val="000000"/>
        </w:rPr>
      </w:pPr>
      <w:r>
        <w:rPr>
          <w:color w:val="000000"/>
          <w:sz w:val="26"/>
          <w:szCs w:val="26"/>
        </w:rPr>
        <w:t>Overcurrent protection in the me</w:t>
      </w:r>
      <w:r w:rsidR="001A13B0">
        <w:rPr>
          <w:color w:val="000000"/>
          <w:sz w:val="26"/>
          <w:szCs w:val="26"/>
        </w:rPr>
        <w:t>t</w:t>
      </w:r>
      <w:r>
        <w:rPr>
          <w:color w:val="000000"/>
          <w:sz w:val="26"/>
          <w:szCs w:val="26"/>
        </w:rPr>
        <w:t>er pedestal/circuit breaker panel that feeds each of the charging stations</w:t>
      </w:r>
      <w:r w:rsidR="00F6700E">
        <w:rPr>
          <w:color w:val="000000"/>
          <w:sz w:val="26"/>
          <w:szCs w:val="26"/>
        </w:rPr>
        <w:t xml:space="preserve"> shall be provided at all locations supported through the IOU programs</w:t>
      </w:r>
      <w:r>
        <w:rPr>
          <w:color w:val="000000"/>
          <w:sz w:val="26"/>
          <w:szCs w:val="26"/>
        </w:rPr>
        <w:t>.</w:t>
      </w:r>
    </w:p>
    <w:p w14:paraId="1BC67C60" w14:textId="77777777" w:rsidR="00ED354D" w:rsidRDefault="00FF4B85" w:rsidP="00DF5F98">
      <w:pPr>
        <w:numPr>
          <w:ilvl w:val="0"/>
          <w:numId w:val="1"/>
        </w:numPr>
        <w:pBdr>
          <w:top w:val="nil"/>
          <w:left w:val="nil"/>
          <w:bottom w:val="nil"/>
          <w:right w:val="nil"/>
          <w:between w:val="nil"/>
        </w:pBdr>
        <w:tabs>
          <w:tab w:val="left" w:pos="941"/>
        </w:tabs>
        <w:rPr>
          <w:color w:val="000000"/>
        </w:rPr>
      </w:pPr>
      <w:r>
        <w:rPr>
          <w:color w:val="000000"/>
          <w:sz w:val="26"/>
          <w:szCs w:val="26"/>
        </w:rPr>
        <w:t>Bollard equipment protection installed where appropriate as defined by utility design standards and AHJ requirements.</w:t>
      </w:r>
    </w:p>
    <w:p w14:paraId="6968606D" w14:textId="48AD7EAB" w:rsidR="00E47DC4" w:rsidRPr="00D5210C" w:rsidRDefault="00FF4B85" w:rsidP="00E47DC4">
      <w:pPr>
        <w:numPr>
          <w:ilvl w:val="0"/>
          <w:numId w:val="1"/>
        </w:numPr>
        <w:pBdr>
          <w:top w:val="nil"/>
          <w:left w:val="nil"/>
          <w:bottom w:val="nil"/>
          <w:right w:val="nil"/>
          <w:between w:val="nil"/>
        </w:pBdr>
        <w:tabs>
          <w:tab w:val="left" w:pos="941"/>
        </w:tabs>
        <w:rPr>
          <w:color w:val="000000"/>
          <w:sz w:val="20"/>
          <w:szCs w:val="20"/>
        </w:rPr>
      </w:pPr>
      <w:r w:rsidRPr="00D5210C">
        <w:rPr>
          <w:color w:val="000000"/>
          <w:sz w:val="26"/>
          <w:szCs w:val="26"/>
        </w:rPr>
        <w:t>Concrete parking stops to protect equipment where appropriate</w:t>
      </w:r>
      <w:r w:rsidR="00DF5F98" w:rsidRPr="00D5210C">
        <w:rPr>
          <w:color w:val="000000"/>
          <w:sz w:val="26"/>
          <w:szCs w:val="26"/>
        </w:rPr>
        <w:t xml:space="preserve"> as defined by utility design standards and AHJ requirements. </w:t>
      </w:r>
      <w:r w:rsidRPr="00D5210C">
        <w:rPr>
          <w:color w:val="000000"/>
          <w:sz w:val="26"/>
          <w:szCs w:val="26"/>
        </w:rPr>
        <w:t xml:space="preserve"> </w:t>
      </w:r>
    </w:p>
    <w:sectPr w:rsidR="00E47DC4" w:rsidRPr="00D5210C">
      <w:type w:val="continuous"/>
      <w:pgSz w:w="12240" w:h="15840"/>
      <w:pgMar w:top="138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BF033" w14:textId="77777777" w:rsidR="00627E09" w:rsidRDefault="00627E09">
      <w:r>
        <w:separator/>
      </w:r>
    </w:p>
  </w:endnote>
  <w:endnote w:type="continuationSeparator" w:id="0">
    <w:p w14:paraId="6A766017" w14:textId="77777777" w:rsidR="00627E09" w:rsidRDefault="0062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99DB6" w14:textId="77777777" w:rsidR="00171222" w:rsidRDefault="001712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006843"/>
      <w:docPartObj>
        <w:docPartGallery w:val="Page Numbers (Bottom of Page)"/>
        <w:docPartUnique/>
      </w:docPartObj>
    </w:sdtPr>
    <w:sdtEndPr>
      <w:rPr>
        <w:noProof/>
      </w:rPr>
    </w:sdtEndPr>
    <w:sdtContent>
      <w:p w14:paraId="5D0B464F" w14:textId="77777777" w:rsidR="00DF5F98" w:rsidRDefault="00DF5F98">
        <w:pPr>
          <w:pStyle w:val="Footer"/>
        </w:pPr>
        <w:r>
          <w:fldChar w:fldCharType="begin"/>
        </w:r>
        <w:r>
          <w:instrText xml:space="preserve"> PAGE   \* MERGEFORMAT </w:instrText>
        </w:r>
        <w:r>
          <w:fldChar w:fldCharType="separate"/>
        </w:r>
        <w:r w:rsidR="00CB2B6A">
          <w:rPr>
            <w:noProof/>
          </w:rPr>
          <w:t>4</w:t>
        </w:r>
        <w:r>
          <w:rPr>
            <w:noProof/>
          </w:rPr>
          <w:fldChar w:fldCharType="end"/>
        </w:r>
      </w:p>
    </w:sdtContent>
  </w:sdt>
  <w:p w14:paraId="14953026" w14:textId="77777777" w:rsidR="00DF5F98" w:rsidRDefault="00DF5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3A690" w14:textId="77777777" w:rsidR="00171222" w:rsidRDefault="00171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AA30C" w14:textId="77777777" w:rsidR="00627E09" w:rsidRDefault="00627E09">
      <w:r>
        <w:separator/>
      </w:r>
    </w:p>
  </w:footnote>
  <w:footnote w:type="continuationSeparator" w:id="0">
    <w:p w14:paraId="73B1CB8E" w14:textId="77777777" w:rsidR="00627E09" w:rsidRDefault="00627E09">
      <w:r>
        <w:continuationSeparator/>
      </w:r>
    </w:p>
  </w:footnote>
  <w:footnote w:id="1">
    <w:p w14:paraId="528F8AE3" w14:textId="14D694AC" w:rsidR="00F6700E" w:rsidRDefault="00F6700E">
      <w:pPr>
        <w:pStyle w:val="FootnoteText"/>
      </w:pPr>
      <w:r w:rsidRPr="00D5210C">
        <w:rPr>
          <w:sz w:val="16"/>
          <w:szCs w:val="16"/>
        </w:rPr>
        <w:t>3</w:t>
      </w:r>
      <w:r>
        <w:t xml:space="preserve"> California Building Code Chapter 2 includes definition associated with electric vehicle charging stations.      CBC Chapter 11B defines requirements for ‘Accessibility to Public Buildings, Public Accommodations, Commercial Buildings, and Public Housing.’</w:t>
      </w:r>
    </w:p>
  </w:footnote>
  <w:footnote w:id="2">
    <w:p w14:paraId="73A80DEF" w14:textId="64EA3B72" w:rsidR="00D5210C" w:rsidRDefault="00D5210C">
      <w:pPr>
        <w:pStyle w:val="FootnoteText"/>
      </w:pPr>
      <w:r w:rsidRPr="00D5210C">
        <w:rPr>
          <w:rStyle w:val="FootnoteReference"/>
          <w:sz w:val="24"/>
          <w:szCs w:val="24"/>
        </w:rPr>
        <w:t>4</w:t>
      </w:r>
      <w:r>
        <w:t xml:space="preserve"> California Electrical Code Article 625 covers Electric Vehicle Charging System safety and standards as installed in place.  California Code of Regulations, Title 24, Article 625.</w:t>
      </w:r>
    </w:p>
  </w:footnote>
  <w:footnote w:id="3">
    <w:p w14:paraId="411C613D" w14:textId="3F492B63" w:rsidR="00D5210C" w:rsidRPr="00F6700E" w:rsidRDefault="00D5210C" w:rsidP="00F6700E">
      <w:pPr>
        <w:spacing w:before="98"/>
        <w:rPr>
          <w:sz w:val="20"/>
          <w:szCs w:val="20"/>
        </w:rPr>
      </w:pPr>
      <w:r>
        <w:rPr>
          <w:rStyle w:val="FootnoteReference"/>
          <w:sz w:val="20"/>
          <w:szCs w:val="20"/>
        </w:rPr>
        <w:t>5</w:t>
      </w:r>
      <w:r>
        <w:t xml:space="preserve"> </w:t>
      </w:r>
      <w:r>
        <w:rPr>
          <w:sz w:val="20"/>
          <w:szCs w:val="20"/>
        </w:rPr>
        <w:t>NEMA Type 3 requirements are designed to ensure the equipment is weather-resistant</w:t>
      </w:r>
      <w:r w:rsidR="00EF7A8F">
        <w:rPr>
          <w:sz w:val="20"/>
          <w:szCs w:val="20"/>
        </w:rPr>
        <w:t>,</w:t>
      </w:r>
      <w:r>
        <w:rPr>
          <w:sz w:val="20"/>
          <w:szCs w:val="20"/>
        </w:rPr>
        <w:t xml:space="preserve"> protected against windblown dust and dirt, rain, sleet, snow, and the formation of ice. More information is available at </w:t>
      </w:r>
      <w:hyperlink r:id="rId1" w:history="1">
        <w:r w:rsidRPr="00695A84">
          <w:rPr>
            <w:rStyle w:val="Hyperlink"/>
            <w:sz w:val="20"/>
            <w:szCs w:val="20"/>
          </w:rPr>
          <w:t>https://www.nema.org/Standards/Pages/Enclosures-for-Electrical-Equipment.aspx</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EE8D8" w14:textId="77777777" w:rsidR="00171222" w:rsidRDefault="00171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0DB3" w14:textId="79387BE0" w:rsidR="00DF5F98" w:rsidRDefault="00DF5F98">
    <w:pPr>
      <w:pStyle w:val="Header"/>
    </w:pPr>
    <w:r>
      <w:t xml:space="preserve">Transportation Electrification Safety Requirements Checklist </w:t>
    </w:r>
  </w:p>
  <w:p w14:paraId="7E958AA7" w14:textId="6604A236" w:rsidR="00DF5F98" w:rsidRDefault="00DF5F98">
    <w:pPr>
      <w:pStyle w:val="Header"/>
    </w:pPr>
    <w:r>
      <w:t>D.18-</w:t>
    </w:r>
    <w:r w:rsidR="0002206C">
      <w:t>09-034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FC31" w14:textId="77777777" w:rsidR="00171222" w:rsidRDefault="00171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F76CC"/>
    <w:multiLevelType w:val="multilevel"/>
    <w:tmpl w:val="6A6AE3B0"/>
    <w:lvl w:ilvl="0">
      <w:start w:val="1"/>
      <w:numFmt w:val="decimal"/>
      <w:lvlText w:val="%1."/>
      <w:lvlJc w:val="left"/>
      <w:pPr>
        <w:ind w:left="940" w:hanging="360"/>
      </w:pPr>
      <w:rPr>
        <w:rFonts w:ascii="Book Antiqua" w:eastAsia="Book Antiqua" w:hAnsi="Book Antiqua" w:cs="Book Antiqua"/>
        <w:sz w:val="26"/>
        <w:szCs w:val="26"/>
      </w:rPr>
    </w:lvl>
    <w:lvl w:ilvl="1">
      <w:start w:val="1"/>
      <w:numFmt w:val="bullet"/>
      <w:lvlText w:val="•"/>
      <w:lvlJc w:val="left"/>
      <w:pPr>
        <w:ind w:left="1826" w:hanging="360"/>
      </w:pPr>
    </w:lvl>
    <w:lvl w:ilvl="2">
      <w:start w:val="1"/>
      <w:numFmt w:val="bullet"/>
      <w:lvlText w:val="•"/>
      <w:lvlJc w:val="left"/>
      <w:pPr>
        <w:ind w:left="2712" w:hanging="360"/>
      </w:pPr>
    </w:lvl>
    <w:lvl w:ilvl="3">
      <w:start w:val="1"/>
      <w:numFmt w:val="bullet"/>
      <w:lvlText w:val="•"/>
      <w:lvlJc w:val="left"/>
      <w:pPr>
        <w:ind w:left="3598" w:hanging="360"/>
      </w:pPr>
    </w:lvl>
    <w:lvl w:ilvl="4">
      <w:start w:val="1"/>
      <w:numFmt w:val="bullet"/>
      <w:lvlText w:val="•"/>
      <w:lvlJc w:val="left"/>
      <w:pPr>
        <w:ind w:left="4484" w:hanging="360"/>
      </w:pPr>
    </w:lvl>
    <w:lvl w:ilvl="5">
      <w:start w:val="1"/>
      <w:numFmt w:val="bullet"/>
      <w:lvlText w:val="•"/>
      <w:lvlJc w:val="left"/>
      <w:pPr>
        <w:ind w:left="5370" w:hanging="360"/>
      </w:pPr>
    </w:lvl>
    <w:lvl w:ilvl="6">
      <w:start w:val="1"/>
      <w:numFmt w:val="bullet"/>
      <w:lvlText w:val="•"/>
      <w:lvlJc w:val="left"/>
      <w:pPr>
        <w:ind w:left="6256" w:hanging="360"/>
      </w:pPr>
    </w:lvl>
    <w:lvl w:ilvl="7">
      <w:start w:val="1"/>
      <w:numFmt w:val="bullet"/>
      <w:lvlText w:val="•"/>
      <w:lvlJc w:val="left"/>
      <w:pPr>
        <w:ind w:left="7142" w:hanging="360"/>
      </w:pPr>
    </w:lvl>
    <w:lvl w:ilvl="8">
      <w:start w:val="1"/>
      <w:numFmt w:val="bullet"/>
      <w:lvlText w:val="•"/>
      <w:lvlJc w:val="left"/>
      <w:pPr>
        <w:ind w:left="8028" w:hanging="360"/>
      </w:pPr>
    </w:lvl>
  </w:abstractNum>
  <w:abstractNum w:abstractNumId="1" w15:restartNumberingAfterBreak="0">
    <w:nsid w:val="46044BB3"/>
    <w:multiLevelType w:val="multilevel"/>
    <w:tmpl w:val="4C82AEAC"/>
    <w:lvl w:ilvl="0">
      <w:start w:val="6"/>
      <w:numFmt w:val="decimal"/>
      <w:lvlText w:val="%1."/>
      <w:lvlJc w:val="left"/>
      <w:pPr>
        <w:ind w:left="940" w:hanging="360"/>
      </w:pPr>
      <w:rPr>
        <w:rFonts w:ascii="Book Antiqua" w:eastAsia="Book Antiqua" w:hAnsi="Book Antiqua" w:cs="Book Antiqua" w:hint="default"/>
        <w:sz w:val="26"/>
        <w:szCs w:val="26"/>
      </w:rPr>
    </w:lvl>
    <w:lvl w:ilvl="1">
      <w:start w:val="1"/>
      <w:numFmt w:val="bullet"/>
      <w:lvlText w:val="•"/>
      <w:lvlJc w:val="left"/>
      <w:pPr>
        <w:ind w:left="1826" w:hanging="360"/>
      </w:pPr>
      <w:rPr>
        <w:rFonts w:hint="default"/>
      </w:rPr>
    </w:lvl>
    <w:lvl w:ilvl="2">
      <w:start w:val="1"/>
      <w:numFmt w:val="bullet"/>
      <w:lvlText w:val="•"/>
      <w:lvlJc w:val="left"/>
      <w:pPr>
        <w:ind w:left="2712" w:hanging="360"/>
      </w:pPr>
      <w:rPr>
        <w:rFonts w:hint="default"/>
      </w:rPr>
    </w:lvl>
    <w:lvl w:ilvl="3">
      <w:start w:val="1"/>
      <w:numFmt w:val="bullet"/>
      <w:lvlText w:val="•"/>
      <w:lvlJc w:val="left"/>
      <w:pPr>
        <w:ind w:left="3598" w:hanging="360"/>
      </w:pPr>
      <w:rPr>
        <w:rFonts w:hint="default"/>
      </w:rPr>
    </w:lvl>
    <w:lvl w:ilvl="4">
      <w:start w:val="1"/>
      <w:numFmt w:val="bullet"/>
      <w:lvlText w:val="•"/>
      <w:lvlJc w:val="left"/>
      <w:pPr>
        <w:ind w:left="4484" w:hanging="360"/>
      </w:pPr>
      <w:rPr>
        <w:rFonts w:hint="default"/>
      </w:rPr>
    </w:lvl>
    <w:lvl w:ilvl="5">
      <w:start w:val="1"/>
      <w:numFmt w:val="bullet"/>
      <w:lvlText w:val="•"/>
      <w:lvlJc w:val="left"/>
      <w:pPr>
        <w:ind w:left="5370" w:hanging="360"/>
      </w:pPr>
      <w:rPr>
        <w:rFonts w:hint="default"/>
      </w:rPr>
    </w:lvl>
    <w:lvl w:ilvl="6">
      <w:start w:val="1"/>
      <w:numFmt w:val="bullet"/>
      <w:lvlText w:val="•"/>
      <w:lvlJc w:val="left"/>
      <w:pPr>
        <w:ind w:left="6256" w:hanging="360"/>
      </w:pPr>
      <w:rPr>
        <w:rFonts w:hint="default"/>
      </w:rPr>
    </w:lvl>
    <w:lvl w:ilvl="7">
      <w:start w:val="1"/>
      <w:numFmt w:val="bullet"/>
      <w:lvlText w:val="•"/>
      <w:lvlJc w:val="left"/>
      <w:pPr>
        <w:ind w:left="7142" w:hanging="360"/>
      </w:pPr>
      <w:rPr>
        <w:rFonts w:hint="default"/>
      </w:rPr>
    </w:lvl>
    <w:lvl w:ilvl="8">
      <w:start w:val="1"/>
      <w:numFmt w:val="bullet"/>
      <w:lvlText w:val="•"/>
      <w:lvlJc w:val="left"/>
      <w:pPr>
        <w:ind w:left="8028" w:hanging="360"/>
      </w:pPr>
      <w:rPr>
        <w:rFonts w:hint="default"/>
      </w:rPr>
    </w:lvl>
  </w:abstractNum>
  <w:abstractNum w:abstractNumId="2" w15:restartNumberingAfterBreak="0">
    <w:nsid w:val="646B2981"/>
    <w:multiLevelType w:val="multilevel"/>
    <w:tmpl w:val="D18ECD4E"/>
    <w:lvl w:ilvl="0">
      <w:start w:val="1"/>
      <w:numFmt w:val="decimal"/>
      <w:lvlText w:val="%1."/>
      <w:lvlJc w:val="left"/>
      <w:pPr>
        <w:ind w:left="940" w:hanging="360"/>
      </w:pPr>
      <w:rPr>
        <w:rFonts w:ascii="Book Antiqua" w:eastAsia="Book Antiqua" w:hAnsi="Book Antiqua" w:cs="Book Antiqua"/>
        <w:sz w:val="26"/>
        <w:szCs w:val="26"/>
      </w:rPr>
    </w:lvl>
    <w:lvl w:ilvl="1">
      <w:start w:val="1"/>
      <w:numFmt w:val="bullet"/>
      <w:lvlText w:val="•"/>
      <w:lvlJc w:val="left"/>
      <w:pPr>
        <w:ind w:left="1826" w:hanging="360"/>
      </w:pPr>
    </w:lvl>
    <w:lvl w:ilvl="2">
      <w:start w:val="1"/>
      <w:numFmt w:val="bullet"/>
      <w:lvlText w:val="•"/>
      <w:lvlJc w:val="left"/>
      <w:pPr>
        <w:ind w:left="2712" w:hanging="360"/>
      </w:pPr>
    </w:lvl>
    <w:lvl w:ilvl="3">
      <w:start w:val="1"/>
      <w:numFmt w:val="bullet"/>
      <w:lvlText w:val="•"/>
      <w:lvlJc w:val="left"/>
      <w:pPr>
        <w:ind w:left="3598" w:hanging="360"/>
      </w:pPr>
    </w:lvl>
    <w:lvl w:ilvl="4">
      <w:start w:val="1"/>
      <w:numFmt w:val="bullet"/>
      <w:lvlText w:val="•"/>
      <w:lvlJc w:val="left"/>
      <w:pPr>
        <w:ind w:left="4484" w:hanging="360"/>
      </w:pPr>
    </w:lvl>
    <w:lvl w:ilvl="5">
      <w:start w:val="1"/>
      <w:numFmt w:val="bullet"/>
      <w:lvlText w:val="•"/>
      <w:lvlJc w:val="left"/>
      <w:pPr>
        <w:ind w:left="5370" w:hanging="360"/>
      </w:pPr>
    </w:lvl>
    <w:lvl w:ilvl="6">
      <w:start w:val="1"/>
      <w:numFmt w:val="bullet"/>
      <w:lvlText w:val="•"/>
      <w:lvlJc w:val="left"/>
      <w:pPr>
        <w:ind w:left="6256" w:hanging="360"/>
      </w:pPr>
    </w:lvl>
    <w:lvl w:ilvl="7">
      <w:start w:val="1"/>
      <w:numFmt w:val="bullet"/>
      <w:lvlText w:val="•"/>
      <w:lvlJc w:val="left"/>
      <w:pPr>
        <w:ind w:left="7142" w:hanging="360"/>
      </w:pPr>
    </w:lvl>
    <w:lvl w:ilvl="8">
      <w:start w:val="1"/>
      <w:numFmt w:val="bullet"/>
      <w:lvlText w:val="•"/>
      <w:lvlJc w:val="left"/>
      <w:pPr>
        <w:ind w:left="8028" w:hanging="360"/>
      </w:pPr>
    </w:lvl>
  </w:abstractNum>
  <w:abstractNum w:abstractNumId="3" w15:restartNumberingAfterBreak="0">
    <w:nsid w:val="66D95B1D"/>
    <w:multiLevelType w:val="multilevel"/>
    <w:tmpl w:val="C5140582"/>
    <w:lvl w:ilvl="0">
      <w:start w:val="5"/>
      <w:numFmt w:val="decimal"/>
      <w:lvlText w:val="%1."/>
      <w:lvlJc w:val="left"/>
      <w:pPr>
        <w:ind w:left="940" w:hanging="360"/>
      </w:pPr>
      <w:rPr>
        <w:rFonts w:ascii="Book Antiqua" w:eastAsia="Book Antiqua" w:hAnsi="Book Antiqua" w:cs="Book Antiqua" w:hint="default"/>
        <w:sz w:val="26"/>
        <w:szCs w:val="26"/>
      </w:rPr>
    </w:lvl>
    <w:lvl w:ilvl="1">
      <w:start w:val="1"/>
      <w:numFmt w:val="bullet"/>
      <w:lvlText w:val="•"/>
      <w:lvlJc w:val="left"/>
      <w:pPr>
        <w:ind w:left="1826" w:hanging="360"/>
      </w:pPr>
      <w:rPr>
        <w:rFonts w:hint="default"/>
      </w:rPr>
    </w:lvl>
    <w:lvl w:ilvl="2">
      <w:start w:val="1"/>
      <w:numFmt w:val="bullet"/>
      <w:lvlText w:val="•"/>
      <w:lvlJc w:val="left"/>
      <w:pPr>
        <w:ind w:left="2712" w:hanging="360"/>
      </w:pPr>
      <w:rPr>
        <w:rFonts w:hint="default"/>
      </w:rPr>
    </w:lvl>
    <w:lvl w:ilvl="3">
      <w:start w:val="1"/>
      <w:numFmt w:val="bullet"/>
      <w:lvlText w:val="•"/>
      <w:lvlJc w:val="left"/>
      <w:pPr>
        <w:ind w:left="3598" w:hanging="360"/>
      </w:pPr>
      <w:rPr>
        <w:rFonts w:hint="default"/>
      </w:rPr>
    </w:lvl>
    <w:lvl w:ilvl="4">
      <w:start w:val="1"/>
      <w:numFmt w:val="bullet"/>
      <w:lvlText w:val="•"/>
      <w:lvlJc w:val="left"/>
      <w:pPr>
        <w:ind w:left="4484" w:hanging="360"/>
      </w:pPr>
      <w:rPr>
        <w:rFonts w:hint="default"/>
      </w:rPr>
    </w:lvl>
    <w:lvl w:ilvl="5">
      <w:start w:val="1"/>
      <w:numFmt w:val="bullet"/>
      <w:lvlText w:val="•"/>
      <w:lvlJc w:val="left"/>
      <w:pPr>
        <w:ind w:left="5370" w:hanging="360"/>
      </w:pPr>
      <w:rPr>
        <w:rFonts w:hint="default"/>
      </w:rPr>
    </w:lvl>
    <w:lvl w:ilvl="6">
      <w:start w:val="1"/>
      <w:numFmt w:val="bullet"/>
      <w:lvlText w:val="•"/>
      <w:lvlJc w:val="left"/>
      <w:pPr>
        <w:ind w:left="6256" w:hanging="360"/>
      </w:pPr>
      <w:rPr>
        <w:rFonts w:hint="default"/>
      </w:rPr>
    </w:lvl>
    <w:lvl w:ilvl="7">
      <w:start w:val="1"/>
      <w:numFmt w:val="bullet"/>
      <w:lvlText w:val="•"/>
      <w:lvlJc w:val="left"/>
      <w:pPr>
        <w:ind w:left="7142" w:hanging="360"/>
      </w:pPr>
      <w:rPr>
        <w:rFonts w:hint="default"/>
      </w:rPr>
    </w:lvl>
    <w:lvl w:ilvl="8">
      <w:start w:val="1"/>
      <w:numFmt w:val="bullet"/>
      <w:lvlText w:val="•"/>
      <w:lvlJc w:val="left"/>
      <w:pPr>
        <w:ind w:left="8028" w:hanging="360"/>
      </w:pPr>
      <w:rPr>
        <w:rFonts w:hint="default"/>
      </w:rPr>
    </w:lvl>
  </w:abstractNum>
  <w:abstractNum w:abstractNumId="4" w15:restartNumberingAfterBreak="0">
    <w:nsid w:val="67A615A3"/>
    <w:multiLevelType w:val="multilevel"/>
    <w:tmpl w:val="60B20D52"/>
    <w:lvl w:ilvl="0">
      <w:start w:val="1"/>
      <w:numFmt w:val="decimal"/>
      <w:lvlText w:val="%1."/>
      <w:lvlJc w:val="left"/>
      <w:pPr>
        <w:ind w:left="940" w:hanging="360"/>
      </w:pPr>
      <w:rPr>
        <w:rFonts w:ascii="Book Antiqua" w:eastAsia="Book Antiqua" w:hAnsi="Book Antiqua" w:cs="Book Antiqua"/>
        <w:sz w:val="26"/>
        <w:szCs w:val="26"/>
      </w:rPr>
    </w:lvl>
    <w:lvl w:ilvl="1">
      <w:start w:val="1"/>
      <w:numFmt w:val="bullet"/>
      <w:lvlText w:val="•"/>
      <w:lvlJc w:val="left"/>
      <w:pPr>
        <w:ind w:left="1826" w:hanging="360"/>
      </w:pPr>
    </w:lvl>
    <w:lvl w:ilvl="2">
      <w:start w:val="1"/>
      <w:numFmt w:val="bullet"/>
      <w:lvlText w:val="•"/>
      <w:lvlJc w:val="left"/>
      <w:pPr>
        <w:ind w:left="2712" w:hanging="360"/>
      </w:pPr>
    </w:lvl>
    <w:lvl w:ilvl="3">
      <w:start w:val="1"/>
      <w:numFmt w:val="bullet"/>
      <w:lvlText w:val="•"/>
      <w:lvlJc w:val="left"/>
      <w:pPr>
        <w:ind w:left="3598" w:hanging="360"/>
      </w:pPr>
    </w:lvl>
    <w:lvl w:ilvl="4">
      <w:start w:val="1"/>
      <w:numFmt w:val="bullet"/>
      <w:lvlText w:val="•"/>
      <w:lvlJc w:val="left"/>
      <w:pPr>
        <w:ind w:left="4484" w:hanging="360"/>
      </w:pPr>
    </w:lvl>
    <w:lvl w:ilvl="5">
      <w:start w:val="1"/>
      <w:numFmt w:val="bullet"/>
      <w:lvlText w:val="•"/>
      <w:lvlJc w:val="left"/>
      <w:pPr>
        <w:ind w:left="5370" w:hanging="360"/>
      </w:pPr>
    </w:lvl>
    <w:lvl w:ilvl="6">
      <w:start w:val="1"/>
      <w:numFmt w:val="bullet"/>
      <w:lvlText w:val="•"/>
      <w:lvlJc w:val="left"/>
      <w:pPr>
        <w:ind w:left="6256" w:hanging="360"/>
      </w:pPr>
    </w:lvl>
    <w:lvl w:ilvl="7">
      <w:start w:val="1"/>
      <w:numFmt w:val="bullet"/>
      <w:lvlText w:val="•"/>
      <w:lvlJc w:val="left"/>
      <w:pPr>
        <w:ind w:left="7142" w:hanging="360"/>
      </w:pPr>
    </w:lvl>
    <w:lvl w:ilvl="8">
      <w:start w:val="1"/>
      <w:numFmt w:val="bullet"/>
      <w:lvlText w:val="•"/>
      <w:lvlJc w:val="left"/>
      <w:pPr>
        <w:ind w:left="8028"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4D"/>
    <w:rsid w:val="0002206C"/>
    <w:rsid w:val="000815E9"/>
    <w:rsid w:val="00171222"/>
    <w:rsid w:val="001A13B0"/>
    <w:rsid w:val="00215D25"/>
    <w:rsid w:val="002A00AE"/>
    <w:rsid w:val="002B01F4"/>
    <w:rsid w:val="00327EC5"/>
    <w:rsid w:val="003C0EE2"/>
    <w:rsid w:val="00492A51"/>
    <w:rsid w:val="004B11F7"/>
    <w:rsid w:val="00571810"/>
    <w:rsid w:val="005D3EE9"/>
    <w:rsid w:val="00627E09"/>
    <w:rsid w:val="006343B6"/>
    <w:rsid w:val="006E0461"/>
    <w:rsid w:val="0078531B"/>
    <w:rsid w:val="008F6DC0"/>
    <w:rsid w:val="00900F9D"/>
    <w:rsid w:val="009B6339"/>
    <w:rsid w:val="00A348A9"/>
    <w:rsid w:val="00B064D7"/>
    <w:rsid w:val="00B219DE"/>
    <w:rsid w:val="00B64DC8"/>
    <w:rsid w:val="00B77680"/>
    <w:rsid w:val="00B94825"/>
    <w:rsid w:val="00C76265"/>
    <w:rsid w:val="00CA3FD0"/>
    <w:rsid w:val="00CB2B6A"/>
    <w:rsid w:val="00CE5724"/>
    <w:rsid w:val="00D5210C"/>
    <w:rsid w:val="00DF5F98"/>
    <w:rsid w:val="00E47DC4"/>
    <w:rsid w:val="00ED354D"/>
    <w:rsid w:val="00EF7A8F"/>
    <w:rsid w:val="00F6700E"/>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17714"/>
  <w15:docId w15:val="{167532DC-4120-4AF3-8C90-99CD7572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Book Antiqua" w:hAnsi="Book Antiqua" w:cs="Book Antiqu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220"/>
      <w:outlineLvl w:val="0"/>
    </w:pPr>
    <w:rPr>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94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5F98"/>
    <w:rPr>
      <w:b/>
      <w:bCs/>
    </w:rPr>
  </w:style>
  <w:style w:type="character" w:customStyle="1" w:styleId="CommentSubjectChar">
    <w:name w:val="Comment Subject Char"/>
    <w:basedOn w:val="CommentTextChar"/>
    <w:link w:val="CommentSubject"/>
    <w:uiPriority w:val="99"/>
    <w:semiHidden/>
    <w:rsid w:val="00DF5F98"/>
    <w:rPr>
      <w:b/>
      <w:bCs/>
      <w:sz w:val="20"/>
      <w:szCs w:val="20"/>
    </w:rPr>
  </w:style>
  <w:style w:type="paragraph" w:styleId="Header">
    <w:name w:val="header"/>
    <w:basedOn w:val="Normal"/>
    <w:link w:val="HeaderChar"/>
    <w:uiPriority w:val="99"/>
    <w:unhideWhenUsed/>
    <w:rsid w:val="00DF5F98"/>
    <w:pPr>
      <w:tabs>
        <w:tab w:val="center" w:pos="4680"/>
        <w:tab w:val="right" w:pos="9360"/>
      </w:tabs>
    </w:pPr>
  </w:style>
  <w:style w:type="character" w:customStyle="1" w:styleId="HeaderChar">
    <w:name w:val="Header Char"/>
    <w:basedOn w:val="DefaultParagraphFont"/>
    <w:link w:val="Header"/>
    <w:uiPriority w:val="99"/>
    <w:rsid w:val="00DF5F98"/>
  </w:style>
  <w:style w:type="paragraph" w:styleId="Footer">
    <w:name w:val="footer"/>
    <w:basedOn w:val="Normal"/>
    <w:link w:val="FooterChar"/>
    <w:uiPriority w:val="99"/>
    <w:unhideWhenUsed/>
    <w:rsid w:val="00DF5F98"/>
    <w:pPr>
      <w:tabs>
        <w:tab w:val="center" w:pos="4680"/>
        <w:tab w:val="right" w:pos="9360"/>
      </w:tabs>
    </w:pPr>
  </w:style>
  <w:style w:type="character" w:customStyle="1" w:styleId="FooterChar">
    <w:name w:val="Footer Char"/>
    <w:basedOn w:val="DefaultParagraphFont"/>
    <w:link w:val="Footer"/>
    <w:uiPriority w:val="99"/>
    <w:rsid w:val="00DF5F98"/>
  </w:style>
  <w:style w:type="paragraph" w:styleId="FootnoteText">
    <w:name w:val="footnote text"/>
    <w:basedOn w:val="Normal"/>
    <w:link w:val="FootnoteTextChar"/>
    <w:uiPriority w:val="99"/>
    <w:semiHidden/>
    <w:unhideWhenUsed/>
    <w:rsid w:val="004B11F7"/>
    <w:rPr>
      <w:sz w:val="20"/>
      <w:szCs w:val="20"/>
    </w:rPr>
  </w:style>
  <w:style w:type="character" w:customStyle="1" w:styleId="FootnoteTextChar">
    <w:name w:val="Footnote Text Char"/>
    <w:basedOn w:val="DefaultParagraphFont"/>
    <w:link w:val="FootnoteText"/>
    <w:uiPriority w:val="99"/>
    <w:semiHidden/>
    <w:rsid w:val="004B11F7"/>
    <w:rPr>
      <w:sz w:val="20"/>
      <w:szCs w:val="20"/>
    </w:rPr>
  </w:style>
  <w:style w:type="character" w:styleId="FootnoteReference">
    <w:name w:val="footnote reference"/>
    <w:basedOn w:val="DefaultParagraphFont"/>
    <w:uiPriority w:val="99"/>
    <w:semiHidden/>
    <w:unhideWhenUsed/>
    <w:rsid w:val="004B11F7"/>
    <w:rPr>
      <w:vertAlign w:val="superscript"/>
    </w:rPr>
  </w:style>
  <w:style w:type="character" w:styleId="Hyperlink">
    <w:name w:val="Hyperlink"/>
    <w:basedOn w:val="DefaultParagraphFont"/>
    <w:uiPriority w:val="99"/>
    <w:unhideWhenUsed/>
    <w:rsid w:val="00E47DC4"/>
    <w:rPr>
      <w:color w:val="0000FF" w:themeColor="hyperlink"/>
      <w:u w:val="single"/>
    </w:rPr>
  </w:style>
  <w:style w:type="character" w:styleId="UnresolvedMention">
    <w:name w:val="Unresolved Mention"/>
    <w:basedOn w:val="DefaultParagraphFont"/>
    <w:uiPriority w:val="99"/>
    <w:semiHidden/>
    <w:unhideWhenUsed/>
    <w:rsid w:val="00E4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ma.org/Standards/Pages/Enclosures-for-Electrical-Equip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35DA4-4EF6-48FD-B571-3A7EA8AFE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Sisto, Carolyn</dc:creator>
  <cp:lastModifiedBy>Sisto, Carolyn</cp:lastModifiedBy>
  <cp:revision>3</cp:revision>
  <dcterms:created xsi:type="dcterms:W3CDTF">2019-07-17T21:18:00Z</dcterms:created>
  <dcterms:modified xsi:type="dcterms:W3CDTF">2019-07-17T22:51:00Z</dcterms:modified>
</cp:coreProperties>
</file>