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60" w:type="dxa"/>
        <w:tblInd w:w="93" w:type="dxa"/>
        <w:tblLook w:val="04A0" w:firstRow="1" w:lastRow="0" w:firstColumn="1" w:lastColumn="0" w:noHBand="0" w:noVBand="1"/>
      </w:tblPr>
      <w:tblGrid>
        <w:gridCol w:w="1500"/>
        <w:gridCol w:w="9160"/>
      </w:tblGrid>
      <w:tr w:rsidR="007126A8" w14:paraId="73A80F20" w14:textId="77777777" w:rsidTr="00BF3C2C">
        <w:trPr>
          <w:trHeight w:val="585"/>
        </w:trPr>
        <w:tc>
          <w:tcPr>
            <w:tcW w:w="150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2DC2442E" w14:textId="77777777" w:rsidR="007126A8" w:rsidRDefault="007126A8">
            <w:pPr>
              <w:jc w:val="center"/>
              <w:rPr>
                <w:b/>
                <w:bCs/>
                <w:color w:val="FFFFFF"/>
                <w:sz w:val="22"/>
                <w:szCs w:val="22"/>
              </w:rPr>
            </w:pPr>
            <w:r>
              <w:rPr>
                <w:b/>
                <w:bCs/>
                <w:color w:val="FFFFFF"/>
                <w:sz w:val="22"/>
                <w:szCs w:val="22"/>
              </w:rPr>
              <w:t>Decisions &amp; Resolutions</w:t>
            </w:r>
          </w:p>
        </w:tc>
        <w:tc>
          <w:tcPr>
            <w:tcW w:w="9160" w:type="dxa"/>
            <w:tcBorders>
              <w:top w:val="single" w:sz="8" w:space="0" w:color="auto"/>
              <w:left w:val="nil"/>
              <w:bottom w:val="single" w:sz="8" w:space="0" w:color="auto"/>
              <w:right w:val="single" w:sz="8" w:space="0" w:color="auto"/>
            </w:tcBorders>
            <w:shd w:val="clear" w:color="000000" w:fill="4F81BD"/>
            <w:vAlign w:val="center"/>
            <w:hideMark/>
          </w:tcPr>
          <w:p w14:paraId="10BE67FD" w14:textId="77777777" w:rsidR="007126A8" w:rsidRDefault="007126A8">
            <w:pPr>
              <w:jc w:val="center"/>
              <w:rPr>
                <w:b/>
                <w:bCs/>
                <w:color w:val="FFFFFF"/>
                <w:sz w:val="22"/>
                <w:szCs w:val="22"/>
              </w:rPr>
            </w:pPr>
            <w:r>
              <w:rPr>
                <w:b/>
                <w:bCs/>
                <w:color w:val="FFFFFF"/>
                <w:sz w:val="22"/>
                <w:szCs w:val="22"/>
              </w:rPr>
              <w:t>Summary</w:t>
            </w:r>
          </w:p>
        </w:tc>
      </w:tr>
      <w:tr w:rsidR="00827ECB" w14:paraId="1372B5C1" w14:textId="77777777" w:rsidTr="00BF3C2C">
        <w:trPr>
          <w:trHeight w:val="615"/>
        </w:trPr>
        <w:tc>
          <w:tcPr>
            <w:tcW w:w="1500" w:type="dxa"/>
            <w:tcBorders>
              <w:top w:val="single" w:sz="8" w:space="0" w:color="auto"/>
              <w:left w:val="single" w:sz="8" w:space="0" w:color="auto"/>
              <w:bottom w:val="single" w:sz="8" w:space="0" w:color="auto"/>
              <w:right w:val="single" w:sz="8" w:space="0" w:color="auto"/>
            </w:tcBorders>
            <w:shd w:val="clear" w:color="000000" w:fill="DBE5F1"/>
            <w:vAlign w:val="center"/>
          </w:tcPr>
          <w:p w14:paraId="6F5A1FFB" w14:textId="6EB1CE16" w:rsidR="00827ECB" w:rsidRPr="00347AAB" w:rsidRDefault="005262ED">
            <w:pPr>
              <w:rPr>
                <w:sz w:val="22"/>
                <w:szCs w:val="22"/>
              </w:rPr>
            </w:pPr>
            <w:hyperlink r:id="rId4" w:history="1">
              <w:r w:rsidR="0082683A">
                <w:rPr>
                  <w:rStyle w:val="Hyperlink"/>
                  <w:sz w:val="22"/>
                  <w:szCs w:val="22"/>
                </w:rPr>
                <w:t>Resolution No. E-4907</w:t>
              </w:r>
            </w:hyperlink>
          </w:p>
        </w:tc>
        <w:tc>
          <w:tcPr>
            <w:tcW w:w="9160" w:type="dxa"/>
            <w:tcBorders>
              <w:top w:val="single" w:sz="8" w:space="0" w:color="auto"/>
              <w:left w:val="nil"/>
              <w:bottom w:val="single" w:sz="8" w:space="0" w:color="auto"/>
              <w:right w:val="single" w:sz="8" w:space="0" w:color="auto"/>
            </w:tcBorders>
            <w:shd w:val="clear" w:color="000000" w:fill="DBE5F1"/>
            <w:vAlign w:val="center"/>
          </w:tcPr>
          <w:p w14:paraId="6F89C5B5" w14:textId="268441AA" w:rsidR="00827ECB" w:rsidRDefault="001B629B">
            <w:pPr>
              <w:rPr>
                <w:color w:val="000000"/>
                <w:sz w:val="22"/>
                <w:szCs w:val="22"/>
              </w:rPr>
            </w:pPr>
            <w:r>
              <w:rPr>
                <w:color w:val="000000"/>
                <w:sz w:val="22"/>
                <w:szCs w:val="22"/>
              </w:rPr>
              <w:t>Requires Community Choice Aggregators to submit to a process that includes a timeline for submission of Implementation Plans; a requirement to “meet and confer” between the CCA and the incumbent utility that can be triggered by either the CCA or the utility; a registration packet including a CCA’s service agreement and bond; and a Commission authorized date to begin service.</w:t>
            </w:r>
          </w:p>
        </w:tc>
      </w:tr>
      <w:tr w:rsidR="007126A8" w14:paraId="156FEFC9" w14:textId="77777777" w:rsidTr="00BA260E">
        <w:trPr>
          <w:trHeight w:val="615"/>
        </w:trPr>
        <w:tc>
          <w:tcPr>
            <w:tcW w:w="1500"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11594400" w14:textId="77777777" w:rsidR="007126A8" w:rsidRDefault="009556ED">
            <w:pPr>
              <w:rPr>
                <w:color w:val="000000"/>
                <w:sz w:val="22"/>
                <w:szCs w:val="22"/>
              </w:rPr>
            </w:pPr>
            <w:hyperlink r:id="rId5" w:history="1">
              <w:r w:rsidR="007126A8" w:rsidRPr="004B444C">
                <w:rPr>
                  <w:rStyle w:val="Hyperlink"/>
                  <w:sz w:val="22"/>
                  <w:szCs w:val="22"/>
                </w:rPr>
                <w:t>Resolution No. E-4195</w:t>
              </w:r>
            </w:hyperlink>
          </w:p>
        </w:tc>
        <w:tc>
          <w:tcPr>
            <w:tcW w:w="9160" w:type="dxa"/>
            <w:tcBorders>
              <w:top w:val="single" w:sz="8" w:space="0" w:color="auto"/>
              <w:left w:val="nil"/>
              <w:bottom w:val="single" w:sz="8" w:space="0" w:color="auto"/>
              <w:right w:val="single" w:sz="8" w:space="0" w:color="auto"/>
            </w:tcBorders>
            <w:shd w:val="clear" w:color="000000" w:fill="auto"/>
            <w:vAlign w:val="center"/>
            <w:hideMark/>
          </w:tcPr>
          <w:p w14:paraId="289273C4" w14:textId="77777777" w:rsidR="007126A8" w:rsidRDefault="007126A8">
            <w:pPr>
              <w:rPr>
                <w:color w:val="000000"/>
                <w:sz w:val="22"/>
                <w:szCs w:val="22"/>
              </w:rPr>
            </w:pPr>
            <w:r>
              <w:rPr>
                <w:color w:val="000000"/>
                <w:sz w:val="22"/>
                <w:szCs w:val="22"/>
              </w:rPr>
              <w:t>Modified the citation program adopted by Resolution No. E-4017.</w:t>
            </w:r>
          </w:p>
        </w:tc>
      </w:tr>
      <w:tr w:rsidR="007126A8" w14:paraId="02C6D7D2" w14:textId="77777777" w:rsidTr="00BA260E">
        <w:trPr>
          <w:trHeight w:val="615"/>
        </w:trPr>
        <w:tc>
          <w:tcPr>
            <w:tcW w:w="1500" w:type="dxa"/>
            <w:tcBorders>
              <w:top w:val="single" w:sz="8" w:space="0" w:color="auto"/>
              <w:left w:val="single" w:sz="8" w:space="0" w:color="auto"/>
              <w:bottom w:val="single" w:sz="8" w:space="0" w:color="auto"/>
              <w:right w:val="single" w:sz="8" w:space="0" w:color="auto"/>
            </w:tcBorders>
            <w:shd w:val="clear" w:color="auto" w:fill="DBE5F1"/>
            <w:vAlign w:val="center"/>
            <w:hideMark/>
          </w:tcPr>
          <w:p w14:paraId="024EB3BC" w14:textId="77777777" w:rsidR="007126A8" w:rsidRDefault="009556ED">
            <w:pPr>
              <w:rPr>
                <w:color w:val="000000"/>
                <w:sz w:val="22"/>
                <w:szCs w:val="22"/>
              </w:rPr>
            </w:pPr>
            <w:hyperlink r:id="rId6" w:history="1">
              <w:r w:rsidR="007126A8" w:rsidRPr="004B444C">
                <w:rPr>
                  <w:rStyle w:val="Hyperlink"/>
                  <w:sz w:val="22"/>
                  <w:szCs w:val="22"/>
                </w:rPr>
                <w:t>Resolution No. E-4017</w:t>
              </w:r>
            </w:hyperlink>
          </w:p>
        </w:tc>
        <w:tc>
          <w:tcPr>
            <w:tcW w:w="9160" w:type="dxa"/>
            <w:tcBorders>
              <w:top w:val="single" w:sz="8" w:space="0" w:color="auto"/>
              <w:left w:val="nil"/>
              <w:bottom w:val="single" w:sz="8" w:space="0" w:color="auto"/>
              <w:right w:val="single" w:sz="8" w:space="0" w:color="auto"/>
            </w:tcBorders>
            <w:shd w:val="clear" w:color="auto" w:fill="DBE5F1"/>
            <w:vAlign w:val="center"/>
            <w:hideMark/>
          </w:tcPr>
          <w:p w14:paraId="2051F23D" w14:textId="77777777" w:rsidR="007126A8" w:rsidRDefault="007126A8">
            <w:pPr>
              <w:rPr>
                <w:color w:val="000000"/>
                <w:sz w:val="22"/>
                <w:szCs w:val="22"/>
              </w:rPr>
            </w:pPr>
            <w:r>
              <w:rPr>
                <w:color w:val="000000"/>
                <w:sz w:val="22"/>
                <w:szCs w:val="22"/>
              </w:rPr>
              <w:t>Approved a citation program for enforcing compliance with certain RA filing requirements.</w:t>
            </w:r>
          </w:p>
        </w:tc>
      </w:tr>
      <w:tr w:rsidR="00B44AA4" w14:paraId="5B1CB089" w14:textId="77777777" w:rsidTr="00BA260E">
        <w:trPr>
          <w:trHeight w:val="615"/>
        </w:trPr>
        <w:tc>
          <w:tcPr>
            <w:tcW w:w="1500" w:type="dxa"/>
            <w:tcBorders>
              <w:top w:val="single" w:sz="8" w:space="0" w:color="auto"/>
              <w:left w:val="single" w:sz="8" w:space="0" w:color="auto"/>
              <w:bottom w:val="single" w:sz="8" w:space="0" w:color="auto"/>
              <w:right w:val="single" w:sz="8" w:space="0" w:color="auto"/>
            </w:tcBorders>
            <w:shd w:val="clear" w:color="DCE6F1" w:fill="auto"/>
            <w:vAlign w:val="center"/>
          </w:tcPr>
          <w:p w14:paraId="2A015859" w14:textId="219B916D" w:rsidR="00BA260E" w:rsidRDefault="005262ED" w:rsidP="00BA260E">
            <w:pPr>
              <w:rPr>
                <w:sz w:val="22"/>
                <w:szCs w:val="22"/>
              </w:rPr>
            </w:pPr>
            <w:hyperlink r:id="rId7" w:history="1">
              <w:r w:rsidR="00BA260E" w:rsidRPr="00C32E9D">
                <w:rPr>
                  <w:rStyle w:val="Hyperlink"/>
                  <w:sz w:val="22"/>
                  <w:szCs w:val="22"/>
                </w:rPr>
                <w:t>D.20-06-031</w:t>
              </w:r>
            </w:hyperlink>
            <w:r w:rsidR="00BA260E" w:rsidRPr="00BA260E">
              <w:rPr>
                <w:sz w:val="22"/>
                <w:szCs w:val="22"/>
              </w:rPr>
              <w:t>/</w:t>
            </w:r>
          </w:p>
          <w:p w14:paraId="07AF9441" w14:textId="12CE970D" w:rsidR="00B44AA4" w:rsidRDefault="009556ED" w:rsidP="00BA260E">
            <w:hyperlink r:id="rId8" w:history="1">
              <w:r w:rsidR="00BA260E" w:rsidRPr="00C32E9D">
                <w:rPr>
                  <w:rStyle w:val="Hyperlink"/>
                  <w:sz w:val="22"/>
                  <w:szCs w:val="22"/>
                </w:rPr>
                <w:t>R.19-11-009</w:t>
              </w:r>
            </w:hyperlink>
          </w:p>
        </w:tc>
        <w:tc>
          <w:tcPr>
            <w:tcW w:w="9160" w:type="dxa"/>
            <w:tcBorders>
              <w:top w:val="single" w:sz="8" w:space="0" w:color="auto"/>
              <w:left w:val="nil"/>
              <w:bottom w:val="single" w:sz="8" w:space="0" w:color="auto"/>
              <w:right w:val="single" w:sz="8" w:space="0" w:color="auto"/>
            </w:tcBorders>
            <w:shd w:val="clear" w:color="DCE6F1" w:fill="auto"/>
            <w:vAlign w:val="center"/>
          </w:tcPr>
          <w:p w14:paraId="75D72E6B" w14:textId="66388C2A" w:rsidR="00B44AA4" w:rsidRDefault="00890228">
            <w:pPr>
              <w:rPr>
                <w:color w:val="000000"/>
                <w:sz w:val="22"/>
                <w:szCs w:val="22"/>
              </w:rPr>
            </w:pPr>
            <w:r>
              <w:rPr>
                <w:color w:val="000000"/>
                <w:sz w:val="22"/>
                <w:szCs w:val="22"/>
              </w:rPr>
              <w:t>A</w:t>
            </w:r>
            <w:r w:rsidRPr="00890228">
              <w:rPr>
                <w:color w:val="000000"/>
                <w:sz w:val="22"/>
                <w:szCs w:val="22"/>
              </w:rPr>
              <w:t>dopts local capacity requirements for 2021-2023 and flexible capacity requirements for 2021 applicable to Commission jurisdictional load-serving entities.  This decision also adopts refinements to the Resource Adequacy program.</w:t>
            </w:r>
          </w:p>
        </w:tc>
      </w:tr>
      <w:tr w:rsidR="00B44AA4" w14:paraId="4E7CCC7B" w14:textId="77777777" w:rsidTr="00B44AA4">
        <w:trPr>
          <w:trHeight w:val="615"/>
        </w:trPr>
        <w:tc>
          <w:tcPr>
            <w:tcW w:w="1500" w:type="dxa"/>
            <w:tcBorders>
              <w:top w:val="single" w:sz="4" w:space="0" w:color="95B3D7"/>
              <w:left w:val="single" w:sz="8" w:space="0" w:color="auto"/>
              <w:bottom w:val="single" w:sz="8" w:space="0" w:color="auto"/>
              <w:right w:val="single" w:sz="8" w:space="0" w:color="auto"/>
            </w:tcBorders>
            <w:shd w:val="clear" w:color="DCE6F1" w:fill="DCE6F1"/>
            <w:vAlign w:val="center"/>
          </w:tcPr>
          <w:p w14:paraId="05675573" w14:textId="7536C5AC" w:rsidR="00B44AA4" w:rsidRDefault="009556ED">
            <w:pPr>
              <w:rPr>
                <w:sz w:val="22"/>
                <w:szCs w:val="22"/>
              </w:rPr>
            </w:pPr>
            <w:hyperlink r:id="rId9" w:history="1">
              <w:r w:rsidR="00BA260E" w:rsidRPr="00C32E9D">
                <w:rPr>
                  <w:rStyle w:val="Hyperlink"/>
                  <w:sz w:val="22"/>
                  <w:szCs w:val="22"/>
                </w:rPr>
                <w:t>D.20-06-028</w:t>
              </w:r>
            </w:hyperlink>
            <w:r w:rsidR="00BA260E">
              <w:rPr>
                <w:sz w:val="22"/>
                <w:szCs w:val="22"/>
              </w:rPr>
              <w:t>/</w:t>
            </w:r>
          </w:p>
          <w:p w14:paraId="1DF4118A" w14:textId="32247F8C" w:rsidR="00BA260E" w:rsidRPr="00BA260E" w:rsidRDefault="009556ED">
            <w:pPr>
              <w:rPr>
                <w:sz w:val="22"/>
                <w:szCs w:val="22"/>
              </w:rPr>
            </w:pPr>
            <w:hyperlink r:id="rId10" w:history="1">
              <w:r w:rsidR="00BA260E" w:rsidRPr="00C32E9D">
                <w:rPr>
                  <w:rStyle w:val="Hyperlink"/>
                  <w:sz w:val="22"/>
                  <w:szCs w:val="22"/>
                </w:rPr>
                <w:t>R.17-</w:t>
              </w:r>
              <w:r w:rsidR="00C32E9D" w:rsidRPr="00C32E9D">
                <w:rPr>
                  <w:rStyle w:val="Hyperlink"/>
                  <w:sz w:val="22"/>
                  <w:szCs w:val="22"/>
                </w:rPr>
                <w:t>09-020</w:t>
              </w:r>
            </w:hyperlink>
          </w:p>
        </w:tc>
        <w:tc>
          <w:tcPr>
            <w:tcW w:w="9160" w:type="dxa"/>
            <w:tcBorders>
              <w:top w:val="single" w:sz="4" w:space="0" w:color="95B3D7"/>
              <w:left w:val="nil"/>
              <w:bottom w:val="single" w:sz="8" w:space="0" w:color="auto"/>
              <w:right w:val="single" w:sz="8" w:space="0" w:color="auto"/>
            </w:tcBorders>
            <w:shd w:val="clear" w:color="DCE6F1" w:fill="DCE6F1"/>
            <w:vAlign w:val="center"/>
          </w:tcPr>
          <w:p w14:paraId="37518C36" w14:textId="3FB10AC3" w:rsidR="00B44AA4" w:rsidRDefault="00890228">
            <w:pPr>
              <w:rPr>
                <w:color w:val="000000"/>
                <w:sz w:val="22"/>
                <w:szCs w:val="22"/>
              </w:rPr>
            </w:pPr>
            <w:r>
              <w:rPr>
                <w:color w:val="000000"/>
                <w:sz w:val="22"/>
                <w:szCs w:val="22"/>
              </w:rPr>
              <w:t>A</w:t>
            </w:r>
            <w:r w:rsidRPr="00890228">
              <w:rPr>
                <w:color w:val="000000"/>
                <w:sz w:val="22"/>
                <w:szCs w:val="22"/>
              </w:rPr>
              <w:t xml:space="preserve">dopts revisions to the Resource Adequacy import rules based on Energy Division's proposal, with modifications.  The Commission will consider the California Independent System Operator (CAISO) and </w:t>
            </w:r>
            <w:proofErr w:type="spellStart"/>
            <w:r w:rsidRPr="00890228">
              <w:rPr>
                <w:color w:val="000000"/>
                <w:sz w:val="22"/>
                <w:szCs w:val="22"/>
              </w:rPr>
              <w:t>Powerex</w:t>
            </w:r>
            <w:proofErr w:type="spellEnd"/>
            <w:r w:rsidRPr="00890228">
              <w:rPr>
                <w:color w:val="000000"/>
                <w:sz w:val="22"/>
                <w:szCs w:val="22"/>
              </w:rPr>
              <w:t xml:space="preserve"> Corp.'s proposal in a subsequent Resource Adequacy proceeding after further development through the CAISO's processes.</w:t>
            </w:r>
          </w:p>
        </w:tc>
      </w:tr>
      <w:tr w:rsidR="00B44AA4" w14:paraId="6F53B711" w14:textId="77777777" w:rsidTr="00B44AA4">
        <w:trPr>
          <w:trHeight w:val="615"/>
        </w:trPr>
        <w:tc>
          <w:tcPr>
            <w:tcW w:w="1500" w:type="dxa"/>
            <w:tcBorders>
              <w:top w:val="single" w:sz="8" w:space="0" w:color="auto"/>
              <w:left w:val="single" w:sz="8" w:space="0" w:color="auto"/>
              <w:bottom w:val="single" w:sz="8" w:space="0" w:color="auto"/>
              <w:right w:val="single" w:sz="8" w:space="0" w:color="auto"/>
            </w:tcBorders>
            <w:shd w:val="clear" w:color="DCE6F1" w:fill="auto"/>
            <w:vAlign w:val="center"/>
          </w:tcPr>
          <w:p w14:paraId="696FD1E2" w14:textId="284913AC" w:rsidR="00B44AA4" w:rsidRDefault="009556ED">
            <w:pPr>
              <w:rPr>
                <w:sz w:val="22"/>
                <w:szCs w:val="22"/>
              </w:rPr>
            </w:pPr>
            <w:hyperlink r:id="rId11" w:history="1">
              <w:r w:rsidR="00BA260E" w:rsidRPr="00C32E9D">
                <w:rPr>
                  <w:rStyle w:val="Hyperlink"/>
                  <w:sz w:val="22"/>
                  <w:szCs w:val="22"/>
                </w:rPr>
                <w:t>D.20-06-002</w:t>
              </w:r>
            </w:hyperlink>
            <w:r w:rsidR="00C32E9D">
              <w:rPr>
                <w:sz w:val="22"/>
                <w:szCs w:val="22"/>
              </w:rPr>
              <w:t>/</w:t>
            </w:r>
          </w:p>
          <w:p w14:paraId="4A3FCD64" w14:textId="3164DC08" w:rsidR="00C32E9D" w:rsidRPr="00BA260E" w:rsidRDefault="009556ED">
            <w:pPr>
              <w:rPr>
                <w:sz w:val="22"/>
                <w:szCs w:val="22"/>
              </w:rPr>
            </w:pPr>
            <w:hyperlink r:id="rId12" w:history="1">
              <w:r w:rsidR="00C32E9D" w:rsidRPr="00C32E9D">
                <w:rPr>
                  <w:rStyle w:val="Hyperlink"/>
                  <w:sz w:val="22"/>
                  <w:szCs w:val="22"/>
                </w:rPr>
                <w:t>R.17-09-020</w:t>
              </w:r>
            </w:hyperlink>
          </w:p>
        </w:tc>
        <w:tc>
          <w:tcPr>
            <w:tcW w:w="9160" w:type="dxa"/>
            <w:tcBorders>
              <w:top w:val="single" w:sz="8" w:space="0" w:color="auto"/>
              <w:left w:val="nil"/>
              <w:bottom w:val="single" w:sz="8" w:space="0" w:color="auto"/>
              <w:right w:val="single" w:sz="8" w:space="0" w:color="auto"/>
            </w:tcBorders>
            <w:shd w:val="clear" w:color="DCE6F1" w:fill="auto"/>
            <w:vAlign w:val="center"/>
          </w:tcPr>
          <w:p w14:paraId="0CB74EB9" w14:textId="03CBC63F" w:rsidR="00B44AA4" w:rsidRDefault="00890228">
            <w:pPr>
              <w:rPr>
                <w:color w:val="000000"/>
                <w:sz w:val="22"/>
                <w:szCs w:val="22"/>
              </w:rPr>
            </w:pPr>
            <w:r>
              <w:rPr>
                <w:color w:val="000000"/>
                <w:sz w:val="22"/>
                <w:szCs w:val="22"/>
              </w:rPr>
              <w:t>A</w:t>
            </w:r>
            <w:r w:rsidRPr="00890228">
              <w:rPr>
                <w:color w:val="000000"/>
                <w:sz w:val="22"/>
                <w:szCs w:val="22"/>
              </w:rPr>
              <w:t>dopts implementation details for the central procurement of multi-year local Resource Adequacy procurement to begin for the 2023 compliance year in the Pacific Gas and Electric Company (PG&amp;E) and Southern California Edison (SCE) distribution service areas, including identifying PG&amp;E and SCE as the central procurement entities for their respective distribution service areas and adopting  a hybrid central procurement framework. The decision declines to adopt a central procurement framework for the San Diego Gas and Electric distribution service area at this time.</w:t>
            </w:r>
          </w:p>
        </w:tc>
      </w:tr>
      <w:tr w:rsidR="00AB7698" w14:paraId="42B2706A" w14:textId="77777777" w:rsidTr="007A5AD1">
        <w:trPr>
          <w:trHeight w:val="615"/>
        </w:trPr>
        <w:tc>
          <w:tcPr>
            <w:tcW w:w="1500" w:type="dxa"/>
            <w:tcBorders>
              <w:top w:val="single" w:sz="4" w:space="0" w:color="95B3D7"/>
              <w:left w:val="single" w:sz="8" w:space="0" w:color="auto"/>
              <w:bottom w:val="single" w:sz="8" w:space="0" w:color="auto"/>
              <w:right w:val="single" w:sz="8" w:space="0" w:color="auto"/>
            </w:tcBorders>
            <w:shd w:val="clear" w:color="DCE6F1" w:fill="DCE6F1"/>
            <w:vAlign w:val="center"/>
          </w:tcPr>
          <w:p w14:paraId="19A97D00" w14:textId="53FD0643" w:rsidR="00AB7698" w:rsidRPr="00340BEF" w:rsidRDefault="009556ED">
            <w:pPr>
              <w:rPr>
                <w:sz w:val="22"/>
                <w:szCs w:val="22"/>
              </w:rPr>
            </w:pPr>
            <w:hyperlink r:id="rId13" w:history="1">
              <w:r w:rsidR="00364444" w:rsidRPr="00227845">
                <w:rPr>
                  <w:rStyle w:val="Hyperlink"/>
                  <w:sz w:val="22"/>
                  <w:szCs w:val="22"/>
                </w:rPr>
                <w:t>D.19-06-026</w:t>
              </w:r>
            </w:hyperlink>
            <w:r w:rsidR="00340BEF" w:rsidRPr="00340BEF">
              <w:rPr>
                <w:sz w:val="22"/>
                <w:szCs w:val="22"/>
              </w:rPr>
              <w:t>/</w:t>
            </w:r>
          </w:p>
          <w:p w14:paraId="42D16891" w14:textId="1DBC82CA" w:rsidR="00340BEF" w:rsidRPr="00340BEF" w:rsidRDefault="009556ED">
            <w:pPr>
              <w:rPr>
                <w:sz w:val="22"/>
                <w:szCs w:val="22"/>
              </w:rPr>
            </w:pPr>
            <w:hyperlink r:id="rId14" w:history="1">
              <w:r w:rsidR="00340BEF" w:rsidRPr="00227845">
                <w:rPr>
                  <w:rStyle w:val="Hyperlink"/>
                  <w:sz w:val="22"/>
                  <w:szCs w:val="22"/>
                </w:rPr>
                <w:t>R.17-09-020</w:t>
              </w:r>
            </w:hyperlink>
          </w:p>
        </w:tc>
        <w:tc>
          <w:tcPr>
            <w:tcW w:w="9160" w:type="dxa"/>
            <w:tcBorders>
              <w:top w:val="single" w:sz="4" w:space="0" w:color="95B3D7"/>
              <w:left w:val="nil"/>
              <w:bottom w:val="single" w:sz="8" w:space="0" w:color="auto"/>
              <w:right w:val="single" w:sz="8" w:space="0" w:color="auto"/>
            </w:tcBorders>
            <w:shd w:val="clear" w:color="DCE6F1" w:fill="DCE6F1"/>
            <w:vAlign w:val="center"/>
          </w:tcPr>
          <w:p w14:paraId="76A568CD" w14:textId="4589BD94" w:rsidR="00AB7698" w:rsidRDefault="004B588B">
            <w:pPr>
              <w:rPr>
                <w:color w:val="000000"/>
                <w:sz w:val="22"/>
                <w:szCs w:val="22"/>
              </w:rPr>
            </w:pPr>
            <w:r>
              <w:rPr>
                <w:color w:val="000000"/>
                <w:sz w:val="22"/>
                <w:szCs w:val="22"/>
              </w:rPr>
              <w:t>A</w:t>
            </w:r>
            <w:r w:rsidRPr="004B588B">
              <w:rPr>
                <w:color w:val="000000"/>
                <w:sz w:val="22"/>
                <w:szCs w:val="22"/>
              </w:rPr>
              <w:t>dopt</w:t>
            </w:r>
            <w:r>
              <w:rPr>
                <w:color w:val="000000"/>
                <w:sz w:val="22"/>
                <w:szCs w:val="22"/>
              </w:rPr>
              <w:t>s</w:t>
            </w:r>
            <w:r w:rsidRPr="004B588B">
              <w:rPr>
                <w:color w:val="000000"/>
                <w:sz w:val="22"/>
                <w:szCs w:val="22"/>
              </w:rPr>
              <w:t xml:space="preserve"> </w:t>
            </w:r>
            <w:r>
              <w:rPr>
                <w:color w:val="000000"/>
                <w:sz w:val="22"/>
                <w:szCs w:val="22"/>
              </w:rPr>
              <w:t>l</w:t>
            </w:r>
            <w:r w:rsidRPr="004B588B">
              <w:rPr>
                <w:color w:val="000000"/>
                <w:sz w:val="22"/>
                <w:szCs w:val="22"/>
              </w:rPr>
              <w:t xml:space="preserve">ocal </w:t>
            </w:r>
            <w:r>
              <w:rPr>
                <w:color w:val="000000"/>
                <w:sz w:val="22"/>
                <w:szCs w:val="22"/>
              </w:rPr>
              <w:t>c</w:t>
            </w:r>
            <w:r w:rsidRPr="004B588B">
              <w:rPr>
                <w:color w:val="000000"/>
                <w:sz w:val="22"/>
                <w:szCs w:val="22"/>
              </w:rPr>
              <w:t xml:space="preserve">apacity </w:t>
            </w:r>
            <w:r>
              <w:rPr>
                <w:color w:val="000000"/>
                <w:sz w:val="22"/>
                <w:szCs w:val="22"/>
              </w:rPr>
              <w:t>o</w:t>
            </w:r>
            <w:r w:rsidRPr="004B588B">
              <w:rPr>
                <w:color w:val="000000"/>
                <w:sz w:val="22"/>
                <w:szCs w:val="22"/>
              </w:rPr>
              <w:t xml:space="preserve">bligations </w:t>
            </w:r>
            <w:r>
              <w:rPr>
                <w:color w:val="000000"/>
                <w:sz w:val="22"/>
                <w:szCs w:val="22"/>
              </w:rPr>
              <w:t>f</w:t>
            </w:r>
            <w:r w:rsidRPr="004B588B">
              <w:rPr>
                <w:color w:val="000000"/>
                <w:sz w:val="22"/>
                <w:szCs w:val="22"/>
              </w:rPr>
              <w:t>or 2020-2022</w:t>
            </w:r>
            <w:r w:rsidR="00540342">
              <w:rPr>
                <w:color w:val="000000"/>
                <w:sz w:val="22"/>
                <w:szCs w:val="22"/>
              </w:rPr>
              <w:t>,</w:t>
            </w:r>
            <w:r w:rsidRPr="004B588B">
              <w:rPr>
                <w:color w:val="000000"/>
                <w:sz w:val="22"/>
                <w:szCs w:val="22"/>
              </w:rPr>
              <w:t xml:space="preserve"> </w:t>
            </w:r>
            <w:r w:rsidR="00540342">
              <w:rPr>
                <w:color w:val="000000"/>
                <w:sz w:val="22"/>
                <w:szCs w:val="22"/>
              </w:rPr>
              <w:t>a</w:t>
            </w:r>
            <w:r w:rsidRPr="004B588B">
              <w:rPr>
                <w:color w:val="000000"/>
                <w:sz w:val="22"/>
                <w:szCs w:val="22"/>
              </w:rPr>
              <w:t>dopt</w:t>
            </w:r>
            <w:r w:rsidR="00540342">
              <w:rPr>
                <w:color w:val="000000"/>
                <w:sz w:val="22"/>
                <w:szCs w:val="22"/>
              </w:rPr>
              <w:t>s</w:t>
            </w:r>
            <w:r w:rsidRPr="004B588B">
              <w:rPr>
                <w:color w:val="000000"/>
                <w:sz w:val="22"/>
                <w:szCs w:val="22"/>
              </w:rPr>
              <w:t xml:space="preserve"> </w:t>
            </w:r>
            <w:r w:rsidR="00540342">
              <w:rPr>
                <w:color w:val="000000"/>
                <w:sz w:val="22"/>
                <w:szCs w:val="22"/>
              </w:rPr>
              <w:t>f</w:t>
            </w:r>
            <w:r w:rsidRPr="004B588B">
              <w:rPr>
                <w:color w:val="000000"/>
                <w:sz w:val="22"/>
                <w:szCs w:val="22"/>
              </w:rPr>
              <w:t xml:space="preserve">lexible </w:t>
            </w:r>
            <w:r w:rsidR="00540342">
              <w:rPr>
                <w:color w:val="000000"/>
                <w:sz w:val="22"/>
                <w:szCs w:val="22"/>
              </w:rPr>
              <w:t>c</w:t>
            </w:r>
            <w:r w:rsidRPr="004B588B">
              <w:rPr>
                <w:color w:val="000000"/>
                <w:sz w:val="22"/>
                <w:szCs w:val="22"/>
              </w:rPr>
              <w:t xml:space="preserve">apacity </w:t>
            </w:r>
            <w:r w:rsidR="00540342">
              <w:rPr>
                <w:color w:val="000000"/>
                <w:sz w:val="22"/>
                <w:szCs w:val="22"/>
              </w:rPr>
              <w:t>o</w:t>
            </w:r>
            <w:r w:rsidRPr="004B588B">
              <w:rPr>
                <w:color w:val="000000"/>
                <w:sz w:val="22"/>
                <w:szCs w:val="22"/>
              </w:rPr>
              <w:t xml:space="preserve">bligations </w:t>
            </w:r>
            <w:r w:rsidR="00540342">
              <w:rPr>
                <w:color w:val="000000"/>
                <w:sz w:val="22"/>
                <w:szCs w:val="22"/>
              </w:rPr>
              <w:t>f</w:t>
            </w:r>
            <w:r w:rsidRPr="004B588B">
              <w:rPr>
                <w:color w:val="000000"/>
                <w:sz w:val="22"/>
                <w:szCs w:val="22"/>
              </w:rPr>
              <w:t xml:space="preserve">or 2020, </w:t>
            </w:r>
            <w:r w:rsidR="00540342">
              <w:rPr>
                <w:color w:val="000000"/>
                <w:sz w:val="22"/>
                <w:szCs w:val="22"/>
              </w:rPr>
              <w:t>a</w:t>
            </w:r>
            <w:r w:rsidRPr="004B588B">
              <w:rPr>
                <w:color w:val="000000"/>
                <w:sz w:val="22"/>
                <w:szCs w:val="22"/>
              </w:rPr>
              <w:t xml:space="preserve">nd </w:t>
            </w:r>
            <w:r w:rsidR="00540342">
              <w:rPr>
                <w:color w:val="000000"/>
                <w:sz w:val="22"/>
                <w:szCs w:val="22"/>
              </w:rPr>
              <w:t>makes r</w:t>
            </w:r>
            <w:r w:rsidRPr="004B588B">
              <w:rPr>
                <w:color w:val="000000"/>
                <w:sz w:val="22"/>
                <w:szCs w:val="22"/>
              </w:rPr>
              <w:t>efin</w:t>
            </w:r>
            <w:r w:rsidR="00540342">
              <w:rPr>
                <w:color w:val="000000"/>
                <w:sz w:val="22"/>
                <w:szCs w:val="22"/>
              </w:rPr>
              <w:t>ements</w:t>
            </w:r>
            <w:r w:rsidRPr="004B588B">
              <w:rPr>
                <w:color w:val="000000"/>
                <w:sz w:val="22"/>
                <w:szCs w:val="22"/>
              </w:rPr>
              <w:t xml:space="preserve"> </w:t>
            </w:r>
            <w:r w:rsidR="00540342">
              <w:rPr>
                <w:color w:val="000000"/>
                <w:sz w:val="22"/>
                <w:szCs w:val="22"/>
              </w:rPr>
              <w:t>to t</w:t>
            </w:r>
            <w:r w:rsidRPr="004B588B">
              <w:rPr>
                <w:color w:val="000000"/>
                <w:sz w:val="22"/>
                <w:szCs w:val="22"/>
              </w:rPr>
              <w:t xml:space="preserve">he </w:t>
            </w:r>
            <w:r w:rsidR="00540342">
              <w:rPr>
                <w:color w:val="000000"/>
                <w:sz w:val="22"/>
                <w:szCs w:val="22"/>
              </w:rPr>
              <w:t>RA</w:t>
            </w:r>
            <w:r w:rsidRPr="004B588B">
              <w:rPr>
                <w:color w:val="000000"/>
                <w:sz w:val="22"/>
                <w:szCs w:val="22"/>
              </w:rPr>
              <w:t xml:space="preserve"> </w:t>
            </w:r>
            <w:r w:rsidR="00540342">
              <w:rPr>
                <w:color w:val="000000"/>
                <w:sz w:val="22"/>
                <w:szCs w:val="22"/>
              </w:rPr>
              <w:t>p</w:t>
            </w:r>
            <w:r w:rsidRPr="004B588B">
              <w:rPr>
                <w:color w:val="000000"/>
                <w:sz w:val="22"/>
                <w:szCs w:val="22"/>
              </w:rPr>
              <w:t>rogram.</w:t>
            </w:r>
          </w:p>
        </w:tc>
      </w:tr>
      <w:tr w:rsidR="004B588B" w14:paraId="6788D72F" w14:textId="77777777" w:rsidTr="007A5AD1">
        <w:trPr>
          <w:trHeight w:val="615"/>
        </w:trPr>
        <w:tc>
          <w:tcPr>
            <w:tcW w:w="1500" w:type="dxa"/>
            <w:tcBorders>
              <w:top w:val="single" w:sz="8" w:space="0" w:color="auto"/>
              <w:left w:val="single" w:sz="8" w:space="0" w:color="auto"/>
              <w:bottom w:val="single" w:sz="8" w:space="0" w:color="auto"/>
              <w:right w:val="single" w:sz="8" w:space="0" w:color="auto"/>
            </w:tcBorders>
            <w:shd w:val="clear" w:color="DCE6F1" w:fill="auto"/>
            <w:vAlign w:val="center"/>
          </w:tcPr>
          <w:p w14:paraId="4599DF4D" w14:textId="65747662" w:rsidR="004B588B" w:rsidRDefault="009556ED">
            <w:pPr>
              <w:rPr>
                <w:sz w:val="22"/>
                <w:szCs w:val="22"/>
              </w:rPr>
            </w:pPr>
            <w:hyperlink r:id="rId15" w:history="1">
              <w:r w:rsidR="004B588B" w:rsidRPr="00227845">
                <w:rPr>
                  <w:rStyle w:val="Hyperlink"/>
                  <w:sz w:val="22"/>
                  <w:szCs w:val="22"/>
                </w:rPr>
                <w:t>D.18-06-031</w:t>
              </w:r>
            </w:hyperlink>
            <w:r w:rsidR="004B588B">
              <w:rPr>
                <w:sz w:val="22"/>
                <w:szCs w:val="22"/>
              </w:rPr>
              <w:t>/</w:t>
            </w:r>
          </w:p>
          <w:p w14:paraId="062E0787" w14:textId="20E016DE" w:rsidR="004B588B" w:rsidRPr="00340BEF" w:rsidRDefault="009556ED">
            <w:pPr>
              <w:rPr>
                <w:sz w:val="22"/>
                <w:szCs w:val="22"/>
              </w:rPr>
            </w:pPr>
            <w:hyperlink r:id="rId16" w:history="1">
              <w:r w:rsidR="00227845" w:rsidRPr="00227845">
                <w:rPr>
                  <w:rStyle w:val="Hyperlink"/>
                  <w:sz w:val="22"/>
                  <w:szCs w:val="22"/>
                </w:rPr>
                <w:t>R.17-09-020</w:t>
              </w:r>
            </w:hyperlink>
          </w:p>
        </w:tc>
        <w:tc>
          <w:tcPr>
            <w:tcW w:w="9160" w:type="dxa"/>
            <w:tcBorders>
              <w:top w:val="single" w:sz="8" w:space="0" w:color="auto"/>
              <w:left w:val="nil"/>
              <w:bottom w:val="single" w:sz="8" w:space="0" w:color="auto"/>
              <w:right w:val="single" w:sz="8" w:space="0" w:color="auto"/>
            </w:tcBorders>
            <w:shd w:val="clear" w:color="DCE6F1" w:fill="auto"/>
            <w:vAlign w:val="center"/>
          </w:tcPr>
          <w:p w14:paraId="2EE3783F" w14:textId="0673849E" w:rsidR="004B588B" w:rsidRPr="004B588B" w:rsidRDefault="004B588B">
            <w:pPr>
              <w:rPr>
                <w:color w:val="000000"/>
                <w:sz w:val="22"/>
                <w:szCs w:val="22"/>
              </w:rPr>
            </w:pPr>
            <w:r w:rsidRPr="004B588B">
              <w:rPr>
                <w:color w:val="000000"/>
                <w:sz w:val="22"/>
                <w:szCs w:val="22"/>
              </w:rPr>
              <w:t>Adopt</w:t>
            </w:r>
            <w:r>
              <w:rPr>
                <w:color w:val="000000"/>
                <w:sz w:val="22"/>
                <w:szCs w:val="22"/>
              </w:rPr>
              <w:t>s</w:t>
            </w:r>
            <w:r w:rsidRPr="004B588B">
              <w:rPr>
                <w:color w:val="000000"/>
                <w:sz w:val="22"/>
                <w:szCs w:val="22"/>
              </w:rPr>
              <w:t xml:space="preserve"> </w:t>
            </w:r>
            <w:r>
              <w:rPr>
                <w:color w:val="000000"/>
                <w:sz w:val="22"/>
                <w:szCs w:val="22"/>
              </w:rPr>
              <w:t>flexible</w:t>
            </w:r>
            <w:r w:rsidRPr="004B588B">
              <w:rPr>
                <w:color w:val="000000"/>
                <w:sz w:val="22"/>
                <w:szCs w:val="22"/>
              </w:rPr>
              <w:t xml:space="preserve"> </w:t>
            </w:r>
            <w:r>
              <w:rPr>
                <w:color w:val="000000"/>
                <w:sz w:val="22"/>
                <w:szCs w:val="22"/>
              </w:rPr>
              <w:t>c</w:t>
            </w:r>
            <w:r w:rsidRPr="004B588B">
              <w:rPr>
                <w:color w:val="000000"/>
                <w:sz w:val="22"/>
                <w:szCs w:val="22"/>
              </w:rPr>
              <w:t xml:space="preserve">apacity </w:t>
            </w:r>
            <w:r>
              <w:rPr>
                <w:color w:val="000000"/>
                <w:sz w:val="22"/>
                <w:szCs w:val="22"/>
              </w:rPr>
              <w:t>o</w:t>
            </w:r>
            <w:r w:rsidRPr="004B588B">
              <w:rPr>
                <w:color w:val="000000"/>
                <w:sz w:val="22"/>
                <w:szCs w:val="22"/>
              </w:rPr>
              <w:t>bligations for 2019</w:t>
            </w:r>
            <w:r>
              <w:rPr>
                <w:color w:val="000000"/>
                <w:sz w:val="22"/>
                <w:szCs w:val="22"/>
              </w:rPr>
              <w:t>.</w:t>
            </w:r>
          </w:p>
        </w:tc>
      </w:tr>
      <w:tr w:rsidR="004B588B" w14:paraId="3DAEF463" w14:textId="77777777" w:rsidTr="007A5AD1">
        <w:trPr>
          <w:trHeight w:val="615"/>
        </w:trPr>
        <w:tc>
          <w:tcPr>
            <w:tcW w:w="1500" w:type="dxa"/>
            <w:tcBorders>
              <w:top w:val="single" w:sz="4" w:space="0" w:color="95B3D7"/>
              <w:left w:val="single" w:sz="8" w:space="0" w:color="auto"/>
              <w:bottom w:val="single" w:sz="8" w:space="0" w:color="auto"/>
              <w:right w:val="single" w:sz="8" w:space="0" w:color="auto"/>
            </w:tcBorders>
            <w:shd w:val="clear" w:color="DCE6F1" w:fill="DCE6F1"/>
            <w:vAlign w:val="center"/>
          </w:tcPr>
          <w:p w14:paraId="6B625880" w14:textId="68455BC3" w:rsidR="004B588B" w:rsidRDefault="009556ED">
            <w:pPr>
              <w:rPr>
                <w:sz w:val="22"/>
                <w:szCs w:val="22"/>
              </w:rPr>
            </w:pPr>
            <w:hyperlink r:id="rId17" w:history="1">
              <w:r w:rsidR="004B588B" w:rsidRPr="00227845">
                <w:rPr>
                  <w:rStyle w:val="Hyperlink"/>
                  <w:sz w:val="22"/>
                  <w:szCs w:val="22"/>
                </w:rPr>
                <w:t>D.18-06-030</w:t>
              </w:r>
            </w:hyperlink>
            <w:r w:rsidR="004B588B">
              <w:rPr>
                <w:sz w:val="22"/>
                <w:szCs w:val="22"/>
              </w:rPr>
              <w:t>/</w:t>
            </w:r>
          </w:p>
          <w:p w14:paraId="26D97BF8" w14:textId="47F8B100" w:rsidR="004B588B" w:rsidRPr="00340BEF" w:rsidRDefault="009556ED">
            <w:pPr>
              <w:rPr>
                <w:sz w:val="22"/>
                <w:szCs w:val="22"/>
              </w:rPr>
            </w:pPr>
            <w:hyperlink r:id="rId18" w:history="1">
              <w:r w:rsidR="00227845" w:rsidRPr="00227845">
                <w:rPr>
                  <w:rStyle w:val="Hyperlink"/>
                  <w:sz w:val="22"/>
                  <w:szCs w:val="22"/>
                </w:rPr>
                <w:t>R.17-09-020</w:t>
              </w:r>
            </w:hyperlink>
          </w:p>
        </w:tc>
        <w:tc>
          <w:tcPr>
            <w:tcW w:w="9160" w:type="dxa"/>
            <w:tcBorders>
              <w:top w:val="single" w:sz="4" w:space="0" w:color="95B3D7"/>
              <w:left w:val="nil"/>
              <w:bottom w:val="single" w:sz="8" w:space="0" w:color="auto"/>
              <w:right w:val="single" w:sz="8" w:space="0" w:color="auto"/>
            </w:tcBorders>
            <w:shd w:val="clear" w:color="DCE6F1" w:fill="DCE6F1"/>
            <w:vAlign w:val="center"/>
          </w:tcPr>
          <w:p w14:paraId="0075AE5E" w14:textId="1DACFAD8" w:rsidR="004B588B" w:rsidRPr="004B588B" w:rsidRDefault="004B588B">
            <w:pPr>
              <w:rPr>
                <w:color w:val="000000"/>
                <w:sz w:val="22"/>
                <w:szCs w:val="22"/>
              </w:rPr>
            </w:pPr>
            <w:r w:rsidRPr="004B588B">
              <w:rPr>
                <w:color w:val="000000"/>
                <w:sz w:val="22"/>
                <w:szCs w:val="22"/>
              </w:rPr>
              <w:t>Adopt</w:t>
            </w:r>
            <w:r>
              <w:rPr>
                <w:color w:val="000000"/>
                <w:sz w:val="22"/>
                <w:szCs w:val="22"/>
              </w:rPr>
              <w:t>s</w:t>
            </w:r>
            <w:r w:rsidRPr="004B588B">
              <w:rPr>
                <w:color w:val="000000"/>
                <w:sz w:val="22"/>
                <w:szCs w:val="22"/>
              </w:rPr>
              <w:t xml:space="preserve"> </w:t>
            </w:r>
            <w:r>
              <w:rPr>
                <w:color w:val="000000"/>
                <w:sz w:val="22"/>
                <w:szCs w:val="22"/>
              </w:rPr>
              <w:t>l</w:t>
            </w:r>
            <w:r w:rsidRPr="004B588B">
              <w:rPr>
                <w:color w:val="000000"/>
                <w:sz w:val="22"/>
                <w:szCs w:val="22"/>
              </w:rPr>
              <w:t xml:space="preserve">ocal </w:t>
            </w:r>
            <w:r>
              <w:rPr>
                <w:color w:val="000000"/>
                <w:sz w:val="22"/>
                <w:szCs w:val="22"/>
              </w:rPr>
              <w:t>c</w:t>
            </w:r>
            <w:r w:rsidRPr="004B588B">
              <w:rPr>
                <w:color w:val="000000"/>
                <w:sz w:val="22"/>
                <w:szCs w:val="22"/>
              </w:rPr>
              <w:t xml:space="preserve">apacity </w:t>
            </w:r>
            <w:r>
              <w:rPr>
                <w:color w:val="000000"/>
                <w:sz w:val="22"/>
                <w:szCs w:val="22"/>
              </w:rPr>
              <w:t>o</w:t>
            </w:r>
            <w:r w:rsidRPr="004B588B">
              <w:rPr>
                <w:color w:val="000000"/>
                <w:sz w:val="22"/>
                <w:szCs w:val="22"/>
              </w:rPr>
              <w:t xml:space="preserve">bligations for 2019 and </w:t>
            </w:r>
            <w:r>
              <w:rPr>
                <w:color w:val="000000"/>
                <w:sz w:val="22"/>
                <w:szCs w:val="22"/>
              </w:rPr>
              <w:t>makes r</w:t>
            </w:r>
            <w:r w:rsidRPr="004B588B">
              <w:rPr>
                <w:color w:val="000000"/>
                <w:sz w:val="22"/>
                <w:szCs w:val="22"/>
              </w:rPr>
              <w:t>efin</w:t>
            </w:r>
            <w:r>
              <w:rPr>
                <w:color w:val="000000"/>
                <w:sz w:val="22"/>
                <w:szCs w:val="22"/>
              </w:rPr>
              <w:t>ements to</w:t>
            </w:r>
            <w:r w:rsidRPr="004B588B">
              <w:rPr>
                <w:color w:val="000000"/>
                <w:sz w:val="22"/>
                <w:szCs w:val="22"/>
              </w:rPr>
              <w:t xml:space="preserve"> the </w:t>
            </w:r>
            <w:r>
              <w:rPr>
                <w:color w:val="000000"/>
                <w:sz w:val="22"/>
                <w:szCs w:val="22"/>
              </w:rPr>
              <w:t xml:space="preserve">RA </w:t>
            </w:r>
            <w:r w:rsidRPr="004B588B">
              <w:rPr>
                <w:color w:val="000000"/>
                <w:sz w:val="22"/>
                <w:szCs w:val="22"/>
              </w:rPr>
              <w:t>Program</w:t>
            </w:r>
            <w:r>
              <w:rPr>
                <w:color w:val="000000"/>
                <w:sz w:val="22"/>
                <w:szCs w:val="22"/>
              </w:rPr>
              <w:t>.</w:t>
            </w:r>
          </w:p>
        </w:tc>
      </w:tr>
      <w:tr w:rsidR="00AB7698" w14:paraId="08095519" w14:textId="77777777" w:rsidTr="007A5AD1">
        <w:trPr>
          <w:trHeight w:val="615"/>
        </w:trPr>
        <w:tc>
          <w:tcPr>
            <w:tcW w:w="1500" w:type="dxa"/>
            <w:tcBorders>
              <w:top w:val="single" w:sz="8" w:space="0" w:color="auto"/>
              <w:left w:val="single" w:sz="8" w:space="0" w:color="auto"/>
              <w:bottom w:val="single" w:sz="8" w:space="0" w:color="auto"/>
              <w:right w:val="single" w:sz="8" w:space="0" w:color="auto"/>
            </w:tcBorders>
            <w:shd w:val="clear" w:color="DCE6F1" w:fill="auto"/>
            <w:vAlign w:val="center"/>
          </w:tcPr>
          <w:p w14:paraId="0732D748" w14:textId="4CF5C0AA" w:rsidR="00AB7698" w:rsidRPr="00340BEF" w:rsidRDefault="009556ED">
            <w:pPr>
              <w:rPr>
                <w:sz w:val="22"/>
                <w:szCs w:val="22"/>
              </w:rPr>
            </w:pPr>
            <w:hyperlink r:id="rId19" w:history="1">
              <w:r w:rsidR="00340BEF" w:rsidRPr="00227845">
                <w:rPr>
                  <w:rStyle w:val="Hyperlink"/>
                  <w:sz w:val="22"/>
                  <w:szCs w:val="22"/>
                </w:rPr>
                <w:t>D.17-06-027</w:t>
              </w:r>
            </w:hyperlink>
            <w:r w:rsidR="00340BEF" w:rsidRPr="00340BEF">
              <w:rPr>
                <w:sz w:val="22"/>
                <w:szCs w:val="22"/>
              </w:rPr>
              <w:t>/</w:t>
            </w:r>
          </w:p>
          <w:p w14:paraId="737E0DFF" w14:textId="646CE580" w:rsidR="00340BEF" w:rsidRPr="00340BEF" w:rsidRDefault="009556ED">
            <w:pPr>
              <w:rPr>
                <w:sz w:val="22"/>
                <w:szCs w:val="22"/>
              </w:rPr>
            </w:pPr>
            <w:hyperlink r:id="rId20" w:history="1">
              <w:r w:rsidR="00340BEF" w:rsidRPr="00227845">
                <w:rPr>
                  <w:rStyle w:val="Hyperlink"/>
                  <w:sz w:val="22"/>
                  <w:szCs w:val="22"/>
                </w:rPr>
                <w:t>R.14-10-010</w:t>
              </w:r>
            </w:hyperlink>
          </w:p>
        </w:tc>
        <w:tc>
          <w:tcPr>
            <w:tcW w:w="9160" w:type="dxa"/>
            <w:tcBorders>
              <w:top w:val="single" w:sz="8" w:space="0" w:color="auto"/>
              <w:left w:val="nil"/>
              <w:bottom w:val="single" w:sz="8" w:space="0" w:color="auto"/>
              <w:right w:val="single" w:sz="8" w:space="0" w:color="auto"/>
            </w:tcBorders>
            <w:shd w:val="clear" w:color="DCE6F1" w:fill="auto"/>
            <w:vAlign w:val="center"/>
          </w:tcPr>
          <w:p w14:paraId="45EBF456" w14:textId="61CCAFB9" w:rsidR="00AB7698" w:rsidRDefault="004B588B">
            <w:pPr>
              <w:rPr>
                <w:color w:val="000000"/>
                <w:sz w:val="22"/>
                <w:szCs w:val="22"/>
              </w:rPr>
            </w:pPr>
            <w:r w:rsidRPr="004B588B">
              <w:rPr>
                <w:color w:val="000000"/>
                <w:sz w:val="22"/>
                <w:szCs w:val="22"/>
              </w:rPr>
              <w:t>Adopt</w:t>
            </w:r>
            <w:r>
              <w:rPr>
                <w:color w:val="000000"/>
                <w:sz w:val="22"/>
                <w:szCs w:val="22"/>
              </w:rPr>
              <w:t>s</w:t>
            </w:r>
            <w:r w:rsidRPr="004B588B">
              <w:rPr>
                <w:color w:val="000000"/>
                <w:sz w:val="22"/>
                <w:szCs w:val="22"/>
              </w:rPr>
              <w:t xml:space="preserve"> </w:t>
            </w:r>
            <w:r>
              <w:rPr>
                <w:color w:val="000000"/>
                <w:sz w:val="22"/>
                <w:szCs w:val="22"/>
              </w:rPr>
              <w:t>l</w:t>
            </w:r>
            <w:r w:rsidRPr="004B588B">
              <w:rPr>
                <w:color w:val="000000"/>
                <w:sz w:val="22"/>
                <w:szCs w:val="22"/>
              </w:rPr>
              <w:t xml:space="preserve">ocal and </w:t>
            </w:r>
            <w:r>
              <w:rPr>
                <w:color w:val="000000"/>
                <w:sz w:val="22"/>
                <w:szCs w:val="22"/>
              </w:rPr>
              <w:t>f</w:t>
            </w:r>
            <w:r w:rsidRPr="004B588B">
              <w:rPr>
                <w:color w:val="000000"/>
                <w:sz w:val="22"/>
                <w:szCs w:val="22"/>
              </w:rPr>
              <w:t xml:space="preserve">lexible </w:t>
            </w:r>
            <w:r>
              <w:rPr>
                <w:color w:val="000000"/>
                <w:sz w:val="22"/>
                <w:szCs w:val="22"/>
              </w:rPr>
              <w:t>ca</w:t>
            </w:r>
            <w:r w:rsidRPr="004B588B">
              <w:rPr>
                <w:color w:val="000000"/>
                <w:sz w:val="22"/>
                <w:szCs w:val="22"/>
              </w:rPr>
              <w:t xml:space="preserve">pacity </w:t>
            </w:r>
            <w:r>
              <w:rPr>
                <w:color w:val="000000"/>
                <w:sz w:val="22"/>
                <w:szCs w:val="22"/>
              </w:rPr>
              <w:t>o</w:t>
            </w:r>
            <w:r w:rsidRPr="004B588B">
              <w:rPr>
                <w:color w:val="000000"/>
                <w:sz w:val="22"/>
                <w:szCs w:val="22"/>
              </w:rPr>
              <w:t xml:space="preserve">bligations </w:t>
            </w:r>
            <w:r>
              <w:rPr>
                <w:color w:val="000000"/>
                <w:sz w:val="22"/>
                <w:szCs w:val="22"/>
              </w:rPr>
              <w:t>f</w:t>
            </w:r>
            <w:r w:rsidRPr="004B588B">
              <w:rPr>
                <w:color w:val="000000"/>
                <w:sz w:val="22"/>
                <w:szCs w:val="22"/>
              </w:rPr>
              <w:t xml:space="preserve">or 2018 and </w:t>
            </w:r>
            <w:r>
              <w:rPr>
                <w:color w:val="000000"/>
                <w:sz w:val="22"/>
                <w:szCs w:val="22"/>
              </w:rPr>
              <w:t>makes r</w:t>
            </w:r>
            <w:r w:rsidRPr="004B588B">
              <w:rPr>
                <w:color w:val="000000"/>
                <w:sz w:val="22"/>
                <w:szCs w:val="22"/>
              </w:rPr>
              <w:t>efin</w:t>
            </w:r>
            <w:r>
              <w:rPr>
                <w:color w:val="000000"/>
                <w:sz w:val="22"/>
                <w:szCs w:val="22"/>
              </w:rPr>
              <w:t>ements to</w:t>
            </w:r>
            <w:r w:rsidRPr="004B588B">
              <w:rPr>
                <w:color w:val="000000"/>
                <w:sz w:val="22"/>
                <w:szCs w:val="22"/>
              </w:rPr>
              <w:t xml:space="preserve"> the </w:t>
            </w:r>
            <w:r>
              <w:rPr>
                <w:color w:val="000000"/>
                <w:sz w:val="22"/>
                <w:szCs w:val="22"/>
              </w:rPr>
              <w:t>RA p</w:t>
            </w:r>
            <w:r w:rsidRPr="004B588B">
              <w:rPr>
                <w:color w:val="000000"/>
                <w:sz w:val="22"/>
                <w:szCs w:val="22"/>
              </w:rPr>
              <w:t>rogram</w:t>
            </w:r>
            <w:r>
              <w:rPr>
                <w:color w:val="000000"/>
                <w:sz w:val="22"/>
                <w:szCs w:val="22"/>
              </w:rPr>
              <w:t>.</w:t>
            </w:r>
          </w:p>
        </w:tc>
      </w:tr>
      <w:tr w:rsidR="007126A8" w14:paraId="775D2B3C"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1524C9D" w14:textId="7E2D6FC7" w:rsidR="007126A8" w:rsidRDefault="009556ED">
            <w:pPr>
              <w:rPr>
                <w:color w:val="000000"/>
                <w:sz w:val="22"/>
                <w:szCs w:val="22"/>
              </w:rPr>
            </w:pPr>
            <w:hyperlink r:id="rId21" w:history="1">
              <w:r w:rsidR="007126A8" w:rsidRPr="00697A9D">
                <w:rPr>
                  <w:rStyle w:val="Hyperlink"/>
                  <w:sz w:val="22"/>
                  <w:szCs w:val="22"/>
                </w:rPr>
                <w:t>D.16-06-045</w:t>
              </w:r>
            </w:hyperlink>
            <w:r w:rsidR="007126A8">
              <w:rPr>
                <w:color w:val="000000"/>
                <w:sz w:val="22"/>
                <w:szCs w:val="22"/>
              </w:rPr>
              <w:t xml:space="preserve">/ </w:t>
            </w:r>
            <w:hyperlink r:id="rId22" w:history="1">
              <w:r w:rsidR="007126A8" w:rsidRPr="00064838">
                <w:rPr>
                  <w:rStyle w:val="Hyperlink"/>
                  <w:sz w:val="22"/>
                  <w:szCs w:val="22"/>
                </w:rPr>
                <w:t>R.14-10-010</w:t>
              </w:r>
            </w:hyperlink>
          </w:p>
        </w:tc>
        <w:tc>
          <w:tcPr>
            <w:tcW w:w="9160" w:type="dxa"/>
            <w:tcBorders>
              <w:top w:val="single" w:sz="4" w:space="0" w:color="95B3D7"/>
              <w:left w:val="nil"/>
              <w:bottom w:val="single" w:sz="8" w:space="0" w:color="auto"/>
              <w:right w:val="single" w:sz="8" w:space="0" w:color="auto"/>
            </w:tcBorders>
            <w:shd w:val="clear" w:color="DCE6F1" w:fill="DCE6F1"/>
            <w:vAlign w:val="center"/>
            <w:hideMark/>
          </w:tcPr>
          <w:p w14:paraId="6D51D4CA" w14:textId="77777777" w:rsidR="007126A8" w:rsidRDefault="007126A8">
            <w:pPr>
              <w:rPr>
                <w:color w:val="000000"/>
                <w:sz w:val="22"/>
                <w:szCs w:val="22"/>
              </w:rPr>
            </w:pPr>
            <w:r>
              <w:rPr>
                <w:color w:val="000000"/>
                <w:sz w:val="22"/>
                <w:szCs w:val="22"/>
              </w:rPr>
              <w:t>Adopts local and flexible capacity obligations for 2017 and makes refinements to the RA program.</w:t>
            </w:r>
          </w:p>
        </w:tc>
      </w:tr>
      <w:tr w:rsidR="007126A8" w14:paraId="5FF3AD0F"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4C50A5B1" w14:textId="69F4FFAE" w:rsidR="007126A8" w:rsidRDefault="009556ED">
            <w:pPr>
              <w:rPr>
                <w:color w:val="000000"/>
                <w:sz w:val="22"/>
                <w:szCs w:val="22"/>
              </w:rPr>
            </w:pPr>
            <w:hyperlink r:id="rId23" w:history="1">
              <w:r w:rsidR="007126A8" w:rsidRPr="00697A9D">
                <w:rPr>
                  <w:rStyle w:val="Hyperlink"/>
                  <w:sz w:val="22"/>
                  <w:szCs w:val="22"/>
                </w:rPr>
                <w:t>D.15-06-063</w:t>
              </w:r>
            </w:hyperlink>
            <w:r w:rsidR="007126A8">
              <w:rPr>
                <w:color w:val="000000"/>
                <w:sz w:val="22"/>
                <w:szCs w:val="22"/>
              </w:rPr>
              <w:t xml:space="preserve">/ </w:t>
            </w:r>
            <w:hyperlink r:id="rId24" w:history="1">
              <w:r w:rsidR="007126A8" w:rsidRPr="00064838">
                <w:rPr>
                  <w:rStyle w:val="Hyperlink"/>
                  <w:sz w:val="22"/>
                  <w:szCs w:val="22"/>
                </w:rPr>
                <w:t>R.14-10-010</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4CF14BBF" w14:textId="77777777" w:rsidR="007126A8" w:rsidRDefault="007126A8">
            <w:pPr>
              <w:rPr>
                <w:color w:val="000000"/>
                <w:sz w:val="22"/>
                <w:szCs w:val="22"/>
              </w:rPr>
            </w:pPr>
            <w:r>
              <w:rPr>
                <w:color w:val="000000"/>
                <w:sz w:val="22"/>
                <w:szCs w:val="22"/>
              </w:rPr>
              <w:t>Adopts local and flexible capacity obligations for 2016 and makes</w:t>
            </w:r>
            <w:r w:rsidR="004B37EC">
              <w:rPr>
                <w:color w:val="000000"/>
                <w:sz w:val="22"/>
                <w:szCs w:val="22"/>
              </w:rPr>
              <w:t xml:space="preserve"> refinements to the RA program.</w:t>
            </w:r>
          </w:p>
        </w:tc>
      </w:tr>
      <w:tr w:rsidR="007126A8" w14:paraId="42407685" w14:textId="77777777" w:rsidTr="007126A8">
        <w:trPr>
          <w:trHeight w:val="12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22430E04" w14:textId="6497EC43" w:rsidR="007126A8" w:rsidRDefault="009556ED">
            <w:pPr>
              <w:rPr>
                <w:color w:val="000000"/>
                <w:sz w:val="22"/>
                <w:szCs w:val="22"/>
              </w:rPr>
            </w:pPr>
            <w:hyperlink r:id="rId25" w:history="1">
              <w:r w:rsidR="007126A8" w:rsidRPr="00697A9D">
                <w:rPr>
                  <w:rStyle w:val="Hyperlink"/>
                  <w:sz w:val="22"/>
                  <w:szCs w:val="22"/>
                </w:rPr>
                <w:t>D.14-06-050</w:t>
              </w:r>
            </w:hyperlink>
            <w:r w:rsidR="007126A8">
              <w:rPr>
                <w:color w:val="000000"/>
                <w:sz w:val="22"/>
                <w:szCs w:val="22"/>
              </w:rPr>
              <w:t xml:space="preserve">/ </w:t>
            </w:r>
            <w:hyperlink r:id="rId26" w:history="1">
              <w:r w:rsidR="007126A8" w:rsidRPr="00064838">
                <w:rPr>
                  <w:rStyle w:val="Hyperlink"/>
                  <w:sz w:val="22"/>
                  <w:szCs w:val="22"/>
                </w:rPr>
                <w:t>R.11-10-023</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017D62B5" w14:textId="77777777" w:rsidR="007126A8" w:rsidRDefault="007126A8">
            <w:pPr>
              <w:rPr>
                <w:color w:val="000000"/>
                <w:sz w:val="22"/>
                <w:szCs w:val="22"/>
              </w:rPr>
            </w:pPr>
            <w:r>
              <w:rPr>
                <w:color w:val="000000"/>
                <w:sz w:val="22"/>
                <w:szCs w:val="22"/>
              </w:rPr>
              <w:t xml:space="preserve">Established local procurement obligations for 2015.  This decision adopts an interim “flexible capacity” framework for 2015-2017 as anticipated by D.13-06-024.  This decision also defines “flexible capacity need”, adopts Qualifying Capacity and Effective Flexible Capacity for energy storage and supply-side DR resources.  There are other minor RA program refinements for 2015.  </w:t>
            </w:r>
          </w:p>
        </w:tc>
      </w:tr>
      <w:tr w:rsidR="007126A8" w14:paraId="5D151B1B" w14:textId="77777777" w:rsidTr="007126A8">
        <w:trPr>
          <w:trHeight w:val="9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3E0FB212" w14:textId="592B3043" w:rsidR="007126A8" w:rsidRDefault="009556ED">
            <w:pPr>
              <w:rPr>
                <w:color w:val="000000"/>
                <w:sz w:val="22"/>
                <w:szCs w:val="22"/>
              </w:rPr>
            </w:pPr>
            <w:hyperlink r:id="rId27" w:history="1">
              <w:r w:rsidR="007126A8" w:rsidRPr="00181499">
                <w:rPr>
                  <w:rStyle w:val="Hyperlink"/>
                  <w:sz w:val="22"/>
                  <w:szCs w:val="22"/>
                </w:rPr>
                <w:t>D.13-06-024</w:t>
              </w:r>
            </w:hyperlink>
            <w:r w:rsidR="007126A8">
              <w:rPr>
                <w:color w:val="000000"/>
                <w:sz w:val="22"/>
                <w:szCs w:val="22"/>
              </w:rPr>
              <w:t xml:space="preserve">/ </w:t>
            </w:r>
            <w:hyperlink r:id="rId28" w:history="1">
              <w:r w:rsidR="007126A8" w:rsidRPr="00064838">
                <w:rPr>
                  <w:rStyle w:val="Hyperlink"/>
                  <w:sz w:val="22"/>
                  <w:szCs w:val="22"/>
                </w:rPr>
                <w:t>R.11-10-023</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7B2F351A" w14:textId="77777777" w:rsidR="007126A8" w:rsidRDefault="007126A8">
            <w:pPr>
              <w:rPr>
                <w:color w:val="000000"/>
                <w:sz w:val="22"/>
                <w:szCs w:val="22"/>
              </w:rPr>
            </w:pPr>
            <w:r>
              <w:rPr>
                <w:color w:val="000000"/>
                <w:sz w:val="22"/>
                <w:szCs w:val="22"/>
              </w:rPr>
              <w:t xml:space="preserve">Established local procurement obligations for 2014.  This decision adopts an interim “flexible capacity” framework which will be likely needed for 2015-2017 due to plant closures and less-flexible capacity.  </w:t>
            </w:r>
          </w:p>
        </w:tc>
      </w:tr>
      <w:tr w:rsidR="007126A8" w14:paraId="42F8D782" w14:textId="77777777" w:rsidTr="007126A8">
        <w:trPr>
          <w:trHeight w:val="9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0DBDD3F9" w14:textId="69CDFA06" w:rsidR="007126A8" w:rsidRDefault="009556ED">
            <w:pPr>
              <w:rPr>
                <w:color w:val="000000"/>
                <w:sz w:val="22"/>
                <w:szCs w:val="22"/>
              </w:rPr>
            </w:pPr>
            <w:hyperlink r:id="rId29" w:history="1">
              <w:r w:rsidR="007126A8" w:rsidRPr="00181499">
                <w:rPr>
                  <w:rStyle w:val="Hyperlink"/>
                  <w:sz w:val="22"/>
                  <w:szCs w:val="22"/>
                </w:rPr>
                <w:t>D.12-06-025</w:t>
              </w:r>
            </w:hyperlink>
            <w:r w:rsidR="007126A8">
              <w:rPr>
                <w:color w:val="000000"/>
                <w:sz w:val="22"/>
                <w:szCs w:val="22"/>
              </w:rPr>
              <w:t xml:space="preserve">/ </w:t>
            </w:r>
            <w:hyperlink r:id="rId30" w:history="1">
              <w:r w:rsidR="007126A8" w:rsidRPr="00064838">
                <w:rPr>
                  <w:rStyle w:val="Hyperlink"/>
                  <w:sz w:val="22"/>
                  <w:szCs w:val="22"/>
                </w:rPr>
                <w:t>R.11-10-023</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46799FEB" w14:textId="77777777" w:rsidR="007126A8" w:rsidRDefault="007126A8">
            <w:pPr>
              <w:rPr>
                <w:color w:val="000000"/>
                <w:sz w:val="22"/>
                <w:szCs w:val="22"/>
              </w:rPr>
            </w:pPr>
            <w:r>
              <w:rPr>
                <w:color w:val="000000"/>
                <w:sz w:val="22"/>
                <w:szCs w:val="22"/>
              </w:rPr>
              <w:t xml:space="preserve">Established local procurement obligations for 2013. This decision studies flexible capacity proposals with an intention to issue a decision by the end of 2012. This decision also modifies the RA program to adopt a different calculation for the coincidence adjustment factor. </w:t>
            </w:r>
          </w:p>
        </w:tc>
      </w:tr>
      <w:tr w:rsidR="007126A8" w14:paraId="0C735994"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5F706799" w14:textId="0FA0BE6F" w:rsidR="007126A8" w:rsidRDefault="009556ED">
            <w:pPr>
              <w:rPr>
                <w:color w:val="000000"/>
                <w:sz w:val="22"/>
                <w:szCs w:val="22"/>
              </w:rPr>
            </w:pPr>
            <w:hyperlink r:id="rId31" w:history="1">
              <w:r w:rsidR="007126A8" w:rsidRPr="006B1550">
                <w:rPr>
                  <w:rStyle w:val="Hyperlink"/>
                  <w:sz w:val="22"/>
                  <w:szCs w:val="22"/>
                </w:rPr>
                <w:t>D.11-06-022</w:t>
              </w:r>
            </w:hyperlink>
            <w:r w:rsidR="007126A8">
              <w:rPr>
                <w:color w:val="000000"/>
                <w:sz w:val="22"/>
                <w:szCs w:val="22"/>
              </w:rPr>
              <w:t xml:space="preserve">/         </w:t>
            </w:r>
            <w:hyperlink r:id="rId32" w:history="1">
              <w:r w:rsidR="007126A8" w:rsidRPr="00064838">
                <w:rPr>
                  <w:rStyle w:val="Hyperlink"/>
                  <w:sz w:val="22"/>
                  <w:szCs w:val="22"/>
                </w:rPr>
                <w:t>R.09-10-032</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76433C75" w14:textId="77777777" w:rsidR="007126A8" w:rsidRDefault="007126A8">
            <w:pPr>
              <w:rPr>
                <w:color w:val="000000"/>
                <w:sz w:val="22"/>
                <w:szCs w:val="22"/>
              </w:rPr>
            </w:pPr>
            <w:r>
              <w:rPr>
                <w:color w:val="000000"/>
                <w:sz w:val="22"/>
                <w:szCs w:val="22"/>
              </w:rPr>
              <w:t>Established local procurement obligations for 2012. This decision adopts eight new RA program refinements.</w:t>
            </w:r>
          </w:p>
        </w:tc>
      </w:tr>
      <w:tr w:rsidR="007126A8" w14:paraId="522AA850" w14:textId="77777777" w:rsidTr="007126A8">
        <w:trPr>
          <w:trHeight w:val="9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40404D05" w14:textId="7FB763B7" w:rsidR="007126A8" w:rsidRDefault="009556ED">
            <w:pPr>
              <w:rPr>
                <w:color w:val="000000"/>
                <w:sz w:val="22"/>
                <w:szCs w:val="22"/>
              </w:rPr>
            </w:pPr>
            <w:hyperlink r:id="rId33" w:history="1">
              <w:r w:rsidR="007126A8" w:rsidRPr="006B1550">
                <w:rPr>
                  <w:rStyle w:val="Hyperlink"/>
                  <w:sz w:val="22"/>
                  <w:szCs w:val="22"/>
                </w:rPr>
                <w:t>D.10-06-036</w:t>
              </w:r>
            </w:hyperlink>
            <w:r w:rsidR="007126A8">
              <w:rPr>
                <w:color w:val="000000"/>
                <w:sz w:val="22"/>
                <w:szCs w:val="22"/>
              </w:rPr>
              <w:t xml:space="preserve">/ </w:t>
            </w:r>
            <w:hyperlink r:id="rId34" w:history="1">
              <w:r w:rsidR="007126A8" w:rsidRPr="00064838">
                <w:rPr>
                  <w:rStyle w:val="Hyperlink"/>
                  <w:sz w:val="22"/>
                  <w:szCs w:val="22"/>
                </w:rPr>
                <w:t>R.09-10-032</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7DD792E0" w14:textId="77777777" w:rsidR="007126A8" w:rsidRDefault="007126A8">
            <w:pPr>
              <w:rPr>
                <w:color w:val="000000"/>
                <w:sz w:val="22"/>
                <w:szCs w:val="22"/>
              </w:rPr>
            </w:pPr>
            <w:r>
              <w:rPr>
                <w:color w:val="000000"/>
                <w:sz w:val="22"/>
                <w:szCs w:val="22"/>
              </w:rPr>
              <w:t>Established local procurement obligations for 2011. The Qualifying Capacity Methodology Manual is adopted to provide load-serving entities with clearer direction for procuring RA resources. The RA true-up mechanism is deferred.</w:t>
            </w:r>
          </w:p>
        </w:tc>
      </w:tr>
      <w:tr w:rsidR="007126A8" w14:paraId="047D91DB"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4987F887" w14:textId="3F1F7F0F" w:rsidR="007126A8" w:rsidRDefault="009556ED">
            <w:pPr>
              <w:rPr>
                <w:color w:val="000000"/>
                <w:sz w:val="22"/>
                <w:szCs w:val="22"/>
              </w:rPr>
            </w:pPr>
            <w:hyperlink r:id="rId35" w:history="1">
              <w:r w:rsidR="007126A8" w:rsidRPr="008C5ADC">
                <w:rPr>
                  <w:rStyle w:val="Hyperlink"/>
                  <w:sz w:val="22"/>
                  <w:szCs w:val="22"/>
                </w:rPr>
                <w:t>D.09-06-028</w:t>
              </w:r>
            </w:hyperlink>
            <w:r w:rsidR="007126A8">
              <w:rPr>
                <w:color w:val="000000"/>
                <w:sz w:val="22"/>
                <w:szCs w:val="22"/>
              </w:rPr>
              <w:t xml:space="preserve">/ </w:t>
            </w:r>
            <w:hyperlink r:id="rId36" w:history="1">
              <w:r w:rsidR="007126A8" w:rsidRPr="00064838">
                <w:rPr>
                  <w:rStyle w:val="Hyperlink"/>
                  <w:sz w:val="22"/>
                  <w:szCs w:val="22"/>
                </w:rPr>
                <w:t>R.08-01-025</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0056295D" w14:textId="77777777" w:rsidR="007126A8" w:rsidRDefault="007126A8">
            <w:pPr>
              <w:rPr>
                <w:color w:val="000000"/>
                <w:sz w:val="22"/>
                <w:szCs w:val="22"/>
              </w:rPr>
            </w:pPr>
            <w:r>
              <w:rPr>
                <w:color w:val="000000"/>
                <w:sz w:val="22"/>
                <w:szCs w:val="22"/>
              </w:rPr>
              <w:t>Established local procurement obligations for 2010, modified certain resource counting rules, and addressed technical implementation issues.</w:t>
            </w:r>
          </w:p>
        </w:tc>
      </w:tr>
      <w:tr w:rsidR="007126A8" w14:paraId="1A9DB418"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60513375" w14:textId="7290FD06" w:rsidR="007126A8" w:rsidRDefault="009556ED">
            <w:pPr>
              <w:rPr>
                <w:color w:val="000000"/>
                <w:sz w:val="22"/>
                <w:szCs w:val="22"/>
              </w:rPr>
            </w:pPr>
            <w:hyperlink r:id="rId37" w:history="1">
              <w:r w:rsidR="007126A8" w:rsidRPr="008C5ADC">
                <w:rPr>
                  <w:rStyle w:val="Hyperlink"/>
                  <w:sz w:val="22"/>
                  <w:szCs w:val="22"/>
                </w:rPr>
                <w:t>D.08-06-031</w:t>
              </w:r>
            </w:hyperlink>
            <w:r w:rsidR="007126A8">
              <w:rPr>
                <w:color w:val="000000"/>
                <w:sz w:val="22"/>
                <w:szCs w:val="22"/>
              </w:rPr>
              <w:t xml:space="preserve">/ </w:t>
            </w:r>
            <w:hyperlink r:id="rId38" w:history="1">
              <w:r w:rsidR="007126A8" w:rsidRPr="00064838">
                <w:rPr>
                  <w:rStyle w:val="Hyperlink"/>
                  <w:sz w:val="22"/>
                  <w:szCs w:val="22"/>
                </w:rPr>
                <w:t>R.08-01-025</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263000DC" w14:textId="77777777" w:rsidR="007126A8" w:rsidRDefault="007126A8">
            <w:pPr>
              <w:rPr>
                <w:color w:val="000000"/>
                <w:sz w:val="22"/>
                <w:szCs w:val="22"/>
              </w:rPr>
            </w:pPr>
            <w:r>
              <w:rPr>
                <w:color w:val="000000"/>
                <w:sz w:val="22"/>
                <w:szCs w:val="22"/>
              </w:rPr>
              <w:t>Established local procurement obligations for 2009, modified certain resource counting rules, and approved modifications to the compliance reporting procedure.</w:t>
            </w:r>
          </w:p>
        </w:tc>
      </w:tr>
      <w:tr w:rsidR="007126A8" w14:paraId="14CF9C1E"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F12AABA" w14:textId="246904CB" w:rsidR="007126A8" w:rsidRDefault="009556ED">
            <w:pPr>
              <w:rPr>
                <w:color w:val="000000"/>
                <w:sz w:val="22"/>
                <w:szCs w:val="22"/>
              </w:rPr>
            </w:pPr>
            <w:hyperlink r:id="rId39" w:history="1">
              <w:r w:rsidR="007126A8" w:rsidRPr="008C5ADC">
                <w:rPr>
                  <w:rStyle w:val="Hyperlink"/>
                  <w:sz w:val="22"/>
                  <w:szCs w:val="22"/>
                </w:rPr>
                <w:t>D.07-06-029</w:t>
              </w:r>
            </w:hyperlink>
            <w:r w:rsidR="007126A8">
              <w:rPr>
                <w:color w:val="000000"/>
                <w:sz w:val="22"/>
                <w:szCs w:val="22"/>
              </w:rPr>
              <w:t xml:space="preserve">/ </w:t>
            </w:r>
            <w:hyperlink r:id="rId40" w:history="1">
              <w:r w:rsidR="007126A8" w:rsidRPr="00064838">
                <w:rPr>
                  <w:rStyle w:val="Hyperlink"/>
                  <w:sz w:val="22"/>
                  <w:szCs w:val="22"/>
                </w:rPr>
                <w:t>R.05-12-013</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7A2C6946" w14:textId="77777777" w:rsidR="007126A8" w:rsidRDefault="007126A8">
            <w:pPr>
              <w:rPr>
                <w:color w:val="000000"/>
                <w:sz w:val="22"/>
                <w:szCs w:val="22"/>
              </w:rPr>
            </w:pPr>
            <w:r>
              <w:rPr>
                <w:color w:val="000000"/>
                <w:sz w:val="22"/>
                <w:szCs w:val="22"/>
              </w:rPr>
              <w:t>Established local procurement obligations for 2008 and addressed zonal transmission constraints by adopting a “Path 26 Counting Constraint.”</w:t>
            </w:r>
          </w:p>
        </w:tc>
      </w:tr>
      <w:tr w:rsidR="007126A8" w14:paraId="79E0B745" w14:textId="77777777" w:rsidTr="007126A8">
        <w:trPr>
          <w:trHeight w:val="15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7BA4DDC5" w14:textId="03D278B3" w:rsidR="007126A8" w:rsidRDefault="009556ED">
            <w:pPr>
              <w:rPr>
                <w:color w:val="000000"/>
                <w:sz w:val="22"/>
                <w:szCs w:val="22"/>
              </w:rPr>
            </w:pPr>
            <w:hyperlink r:id="rId41" w:history="1">
              <w:r w:rsidR="007126A8" w:rsidRPr="008C5ADC">
                <w:rPr>
                  <w:rStyle w:val="Hyperlink"/>
                  <w:sz w:val="22"/>
                  <w:szCs w:val="22"/>
                </w:rPr>
                <w:t>D.06-12-037</w:t>
              </w:r>
            </w:hyperlink>
            <w:r w:rsidR="007126A8">
              <w:rPr>
                <w:color w:val="000000"/>
                <w:sz w:val="22"/>
                <w:szCs w:val="22"/>
              </w:rPr>
              <w:t xml:space="preserve"> </w:t>
            </w:r>
            <w:hyperlink r:id="rId42" w:history="1">
              <w:r w:rsidR="007126A8" w:rsidRPr="00064838">
                <w:rPr>
                  <w:rStyle w:val="Hyperlink"/>
                  <w:sz w:val="22"/>
                  <w:szCs w:val="22"/>
                </w:rPr>
                <w:t>R.04-04-003</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7EDCDB94" w14:textId="77777777" w:rsidR="007126A8" w:rsidRDefault="007126A8">
            <w:pPr>
              <w:rPr>
                <w:color w:val="000000"/>
                <w:sz w:val="22"/>
                <w:szCs w:val="22"/>
              </w:rPr>
            </w:pPr>
            <w:r>
              <w:rPr>
                <w:color w:val="000000"/>
                <w:sz w:val="22"/>
                <w:szCs w:val="22"/>
              </w:rPr>
              <w:t>In response to various petitions for modification, modified D.05-10-042 to (1) require that RA-qualified firm liquidated damages import contracts specify a delivery point at an interconnection with the CAISO control area or a CAISO scheduling point, (2) exempt certain import contracts from the requirement that RA resources be available to the CAISO in real time, and (3) make minor clarifying wording changes.</w:t>
            </w:r>
          </w:p>
        </w:tc>
      </w:tr>
      <w:tr w:rsidR="007126A8" w14:paraId="1F3C26CC" w14:textId="77777777" w:rsidTr="007126A8">
        <w:trPr>
          <w:trHeight w:val="12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3CE3D1AB" w14:textId="36E6FE35" w:rsidR="007126A8" w:rsidRDefault="009556ED">
            <w:pPr>
              <w:rPr>
                <w:color w:val="000000"/>
                <w:sz w:val="22"/>
                <w:szCs w:val="22"/>
              </w:rPr>
            </w:pPr>
            <w:hyperlink r:id="rId43" w:history="1">
              <w:r w:rsidR="007126A8" w:rsidRPr="008C5ADC">
                <w:rPr>
                  <w:rStyle w:val="Hyperlink"/>
                  <w:sz w:val="22"/>
                  <w:szCs w:val="22"/>
                </w:rPr>
                <w:t>D.06-07-031</w:t>
              </w:r>
            </w:hyperlink>
            <w:r w:rsidR="007126A8">
              <w:rPr>
                <w:color w:val="000000"/>
                <w:sz w:val="22"/>
                <w:szCs w:val="22"/>
              </w:rPr>
              <w:t xml:space="preserve">/ </w:t>
            </w:r>
            <w:hyperlink r:id="rId44" w:history="1">
              <w:r w:rsidR="007126A8" w:rsidRPr="00064838">
                <w:rPr>
                  <w:rStyle w:val="Hyperlink"/>
                  <w:sz w:val="22"/>
                  <w:szCs w:val="22"/>
                </w:rPr>
                <w:t>R.05-12-013</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0AEF73DA" w14:textId="77777777" w:rsidR="007126A8" w:rsidRDefault="007126A8">
            <w:pPr>
              <w:rPr>
                <w:color w:val="000000"/>
                <w:sz w:val="22"/>
                <w:szCs w:val="22"/>
              </w:rPr>
            </w:pPr>
            <w:r>
              <w:rPr>
                <w:color w:val="000000"/>
                <w:sz w:val="22"/>
                <w:szCs w:val="22"/>
              </w:rPr>
              <w:t>Addressed certain RA policy issues to establish clearer expectations among market participants regarding how contracts for RA resources will count towards meeting LSEs’ procurement obligations.  Adopted protocols for forced and scheduled outages and refined the definition of the essential elements of an RA capacity product that can be readily traded.</w:t>
            </w:r>
          </w:p>
        </w:tc>
      </w:tr>
      <w:tr w:rsidR="007126A8" w14:paraId="3E050B00" w14:textId="77777777" w:rsidTr="007126A8">
        <w:trPr>
          <w:trHeight w:val="18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61A92737" w14:textId="0442380E" w:rsidR="007126A8" w:rsidRDefault="009556ED">
            <w:pPr>
              <w:rPr>
                <w:color w:val="000000"/>
                <w:sz w:val="22"/>
                <w:szCs w:val="22"/>
              </w:rPr>
            </w:pPr>
            <w:hyperlink r:id="rId45" w:history="1">
              <w:r w:rsidR="007126A8" w:rsidRPr="008C5ADC">
                <w:rPr>
                  <w:rStyle w:val="Hyperlink"/>
                  <w:sz w:val="22"/>
                  <w:szCs w:val="22"/>
                </w:rPr>
                <w:t>D.06-06-064</w:t>
              </w:r>
            </w:hyperlink>
            <w:r w:rsidR="007126A8">
              <w:rPr>
                <w:color w:val="000000"/>
                <w:sz w:val="22"/>
                <w:szCs w:val="22"/>
              </w:rPr>
              <w:t xml:space="preserve">/ </w:t>
            </w:r>
            <w:hyperlink r:id="rId46" w:history="1">
              <w:r w:rsidR="007126A8" w:rsidRPr="00064838">
                <w:rPr>
                  <w:rStyle w:val="Hyperlink"/>
                  <w:sz w:val="22"/>
                  <w:szCs w:val="22"/>
                </w:rPr>
                <w:t>R.05-12-013</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31525148" w14:textId="77777777" w:rsidR="007126A8" w:rsidRDefault="007126A8">
            <w:pPr>
              <w:rPr>
                <w:color w:val="000000"/>
                <w:sz w:val="22"/>
                <w:szCs w:val="22"/>
              </w:rPr>
            </w:pPr>
            <w:r>
              <w:rPr>
                <w:color w:val="000000"/>
                <w:sz w:val="22"/>
                <w:szCs w:val="22"/>
              </w:rPr>
              <w:t xml:space="preserve">Established local procurement obligations for 2007 based on a 2007 Local Capacity Requirements (LCR) study by the </w:t>
            </w:r>
            <w:proofErr w:type="gramStart"/>
            <w:r>
              <w:rPr>
                <w:color w:val="000000"/>
                <w:sz w:val="22"/>
                <w:szCs w:val="22"/>
              </w:rPr>
              <w:t>CAISO, and</w:t>
            </w:r>
            <w:proofErr w:type="gramEnd"/>
            <w:r>
              <w:rPr>
                <w:color w:val="000000"/>
                <w:sz w:val="22"/>
                <w:szCs w:val="22"/>
              </w:rPr>
              <w:t xml:space="preserve"> set the stage for establishing local procurement obligations in future years.  Addressed local RA policy and implementation issues including LCR study methodology, allocation of LCRs to Commission-jurisdictional LSEs, aggregation of local areas for compliance purposes, the compliance filing process, coordination with the CAISO’s Reliability Must Run designations, market power, waivers, and penalties for non-compliance.</w:t>
            </w:r>
          </w:p>
        </w:tc>
      </w:tr>
      <w:tr w:rsidR="007126A8" w14:paraId="6FE1B85B" w14:textId="77777777" w:rsidTr="007126A8">
        <w:trPr>
          <w:trHeight w:val="12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6283E2A7" w14:textId="0113D3D8" w:rsidR="007126A8" w:rsidRDefault="009556ED">
            <w:pPr>
              <w:rPr>
                <w:color w:val="000000"/>
                <w:sz w:val="22"/>
                <w:szCs w:val="22"/>
              </w:rPr>
            </w:pPr>
            <w:hyperlink r:id="rId47" w:history="1">
              <w:r w:rsidR="007126A8" w:rsidRPr="008C5ADC">
                <w:rPr>
                  <w:rStyle w:val="Hyperlink"/>
                  <w:sz w:val="22"/>
                  <w:szCs w:val="22"/>
                </w:rPr>
                <w:t>D.06-04-040</w:t>
              </w:r>
            </w:hyperlink>
            <w:r w:rsidR="007126A8">
              <w:rPr>
                <w:color w:val="000000"/>
                <w:sz w:val="22"/>
                <w:szCs w:val="22"/>
              </w:rPr>
              <w:t xml:space="preserve">/ </w:t>
            </w:r>
            <w:hyperlink r:id="rId48" w:history="1">
              <w:r w:rsidR="007126A8" w:rsidRPr="00064838">
                <w:rPr>
                  <w:rStyle w:val="Hyperlink"/>
                  <w:sz w:val="22"/>
                  <w:szCs w:val="22"/>
                </w:rPr>
                <w:t>R.04-04-003</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789B10D5" w14:textId="77777777" w:rsidR="007126A8" w:rsidRDefault="007126A8">
            <w:pPr>
              <w:rPr>
                <w:color w:val="000000"/>
                <w:sz w:val="22"/>
                <w:szCs w:val="22"/>
              </w:rPr>
            </w:pPr>
            <w:r>
              <w:rPr>
                <w:color w:val="000000"/>
                <w:sz w:val="22"/>
                <w:szCs w:val="22"/>
              </w:rPr>
              <w:t>In response to applications for rehearing, modified D.05-10-042 to emphasize that the RA program in place for 2006-2008 is transitional and to clarify that the MOO provision to be included in RA contracts is an independent, RA-based requirement that does not attempt to change or alter the current Federal Energy Regulatory Commission-imposed MOO.</w:t>
            </w:r>
          </w:p>
        </w:tc>
      </w:tr>
      <w:tr w:rsidR="007126A8" w14:paraId="6A22B4A9" w14:textId="77777777" w:rsidTr="007126A8">
        <w:trPr>
          <w:trHeight w:val="61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416A7A5D" w14:textId="3DBCAFD1" w:rsidR="007126A8" w:rsidRDefault="009556ED">
            <w:pPr>
              <w:rPr>
                <w:color w:val="000000"/>
                <w:sz w:val="22"/>
                <w:szCs w:val="22"/>
              </w:rPr>
            </w:pPr>
            <w:hyperlink r:id="rId49" w:history="1">
              <w:r w:rsidR="007126A8" w:rsidRPr="008C5ADC">
                <w:rPr>
                  <w:rStyle w:val="Hyperlink"/>
                  <w:sz w:val="22"/>
                  <w:szCs w:val="22"/>
                </w:rPr>
                <w:t>D.06-02-007</w:t>
              </w:r>
            </w:hyperlink>
            <w:r w:rsidR="007126A8">
              <w:rPr>
                <w:color w:val="000000"/>
                <w:sz w:val="22"/>
                <w:szCs w:val="22"/>
              </w:rPr>
              <w:t xml:space="preserve">/ </w:t>
            </w:r>
            <w:hyperlink r:id="rId50" w:history="1">
              <w:r w:rsidR="007126A8" w:rsidRPr="00DF1643">
                <w:rPr>
                  <w:rStyle w:val="Hyperlink"/>
                  <w:sz w:val="22"/>
                  <w:szCs w:val="22"/>
                </w:rPr>
                <w:t>R.04-04-003</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2CE50CA4" w14:textId="77777777" w:rsidR="007126A8" w:rsidRDefault="007126A8">
            <w:pPr>
              <w:rPr>
                <w:color w:val="000000"/>
                <w:sz w:val="22"/>
                <w:szCs w:val="22"/>
              </w:rPr>
            </w:pPr>
            <w:r>
              <w:rPr>
                <w:color w:val="000000"/>
                <w:sz w:val="22"/>
                <w:szCs w:val="22"/>
              </w:rPr>
              <w:t>Removed a prohibition on reselling and re-trading import capacity rights.</w:t>
            </w:r>
          </w:p>
        </w:tc>
      </w:tr>
      <w:tr w:rsidR="007126A8" w14:paraId="0BD4FA87" w14:textId="77777777" w:rsidTr="007126A8">
        <w:trPr>
          <w:trHeight w:val="2415"/>
        </w:trPr>
        <w:tc>
          <w:tcPr>
            <w:tcW w:w="15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5079A35E" w14:textId="75CCACEF" w:rsidR="007126A8" w:rsidRDefault="009556ED">
            <w:pPr>
              <w:rPr>
                <w:color w:val="000000"/>
                <w:sz w:val="22"/>
                <w:szCs w:val="22"/>
              </w:rPr>
            </w:pPr>
            <w:hyperlink r:id="rId51" w:history="1">
              <w:r w:rsidR="007126A8" w:rsidRPr="008C5ADC">
                <w:rPr>
                  <w:rStyle w:val="Hyperlink"/>
                  <w:sz w:val="22"/>
                  <w:szCs w:val="22"/>
                </w:rPr>
                <w:t>D.05-10-042</w:t>
              </w:r>
            </w:hyperlink>
            <w:r w:rsidR="007126A8">
              <w:rPr>
                <w:color w:val="000000"/>
                <w:sz w:val="22"/>
                <w:szCs w:val="22"/>
              </w:rPr>
              <w:t xml:space="preserve">/ </w:t>
            </w:r>
            <w:hyperlink r:id="rId52" w:history="1">
              <w:r w:rsidR="007126A8" w:rsidRPr="00DF1643">
                <w:rPr>
                  <w:rStyle w:val="Hyperlink"/>
                  <w:sz w:val="22"/>
                  <w:szCs w:val="22"/>
                </w:rPr>
                <w:t>R.04-04-003</w:t>
              </w:r>
            </w:hyperlink>
          </w:p>
        </w:tc>
        <w:tc>
          <w:tcPr>
            <w:tcW w:w="9160" w:type="dxa"/>
            <w:tcBorders>
              <w:top w:val="single" w:sz="4" w:space="0" w:color="95B3D7"/>
              <w:left w:val="nil"/>
              <w:bottom w:val="single" w:sz="8" w:space="0" w:color="auto"/>
              <w:right w:val="single" w:sz="8" w:space="0" w:color="auto"/>
            </w:tcBorders>
            <w:shd w:val="clear" w:color="auto" w:fill="auto"/>
            <w:vAlign w:val="center"/>
            <w:hideMark/>
          </w:tcPr>
          <w:p w14:paraId="657D1D2B" w14:textId="77777777" w:rsidR="007126A8" w:rsidRDefault="007126A8">
            <w:pPr>
              <w:rPr>
                <w:color w:val="000000"/>
                <w:sz w:val="22"/>
                <w:szCs w:val="22"/>
              </w:rPr>
            </w:pPr>
            <w:r>
              <w:rPr>
                <w:color w:val="000000"/>
                <w:sz w:val="22"/>
                <w:szCs w:val="22"/>
              </w:rPr>
              <w:t>Ordered the implementation of “system” RA program beginning in June 2006 and stated intention to establish “local” RA procurement obligations beginning in 2007.  Addressed several RA program implementation issues, including the nature of the RA obligation (monthly system peak), the role of the CEC in reviewing and adjusting LSE load forecasts, coordination of the RA program and CAISO operations, load forecasting and resource counting issues, standard RA contract elements, the phase-out of the ability to count non-unit specific contracts for RA showings, the “must-offer obligation” (MOO) of RA resources to be available to the CAISO, and penalties for an LSE’s failure to meet RA procurement obligations.</w:t>
            </w:r>
          </w:p>
        </w:tc>
      </w:tr>
      <w:tr w:rsidR="007126A8" w14:paraId="0802B8EA" w14:textId="77777777" w:rsidTr="007126A8">
        <w:trPr>
          <w:trHeight w:val="2295"/>
        </w:trPr>
        <w:tc>
          <w:tcPr>
            <w:tcW w:w="1500" w:type="dxa"/>
            <w:tcBorders>
              <w:top w:val="single" w:sz="4" w:space="0" w:color="95B3D7"/>
              <w:left w:val="single" w:sz="8" w:space="0" w:color="auto"/>
              <w:bottom w:val="single" w:sz="8" w:space="0" w:color="auto"/>
              <w:right w:val="single" w:sz="8" w:space="0" w:color="auto"/>
            </w:tcBorders>
            <w:shd w:val="clear" w:color="000000" w:fill="DCE6F1"/>
            <w:vAlign w:val="center"/>
            <w:hideMark/>
          </w:tcPr>
          <w:p w14:paraId="049BC2D8" w14:textId="772326BD" w:rsidR="007126A8" w:rsidRDefault="009556ED">
            <w:pPr>
              <w:rPr>
                <w:color w:val="000000"/>
                <w:sz w:val="22"/>
                <w:szCs w:val="22"/>
              </w:rPr>
            </w:pPr>
            <w:hyperlink r:id="rId53" w:history="1">
              <w:r w:rsidR="007126A8" w:rsidRPr="008C5ADC">
                <w:rPr>
                  <w:rStyle w:val="Hyperlink"/>
                  <w:sz w:val="22"/>
                  <w:szCs w:val="22"/>
                </w:rPr>
                <w:t>D.04-10-035</w:t>
              </w:r>
            </w:hyperlink>
            <w:r w:rsidR="007126A8">
              <w:rPr>
                <w:color w:val="000000"/>
                <w:sz w:val="22"/>
                <w:szCs w:val="22"/>
              </w:rPr>
              <w:t xml:space="preserve">/ </w:t>
            </w:r>
            <w:hyperlink r:id="rId54" w:history="1">
              <w:r w:rsidR="007126A8" w:rsidRPr="00DF1643">
                <w:rPr>
                  <w:rStyle w:val="Hyperlink"/>
                  <w:sz w:val="22"/>
                  <w:szCs w:val="22"/>
                </w:rPr>
                <w:t>R.04-04-003</w:t>
              </w:r>
            </w:hyperlink>
          </w:p>
        </w:tc>
        <w:tc>
          <w:tcPr>
            <w:tcW w:w="9160" w:type="dxa"/>
            <w:tcBorders>
              <w:top w:val="single" w:sz="4" w:space="0" w:color="95B3D7"/>
              <w:left w:val="nil"/>
              <w:bottom w:val="single" w:sz="8" w:space="0" w:color="auto"/>
              <w:right w:val="single" w:sz="8" w:space="0" w:color="auto"/>
            </w:tcBorders>
            <w:shd w:val="clear" w:color="000000" w:fill="DCE6F1"/>
            <w:vAlign w:val="center"/>
            <w:hideMark/>
          </w:tcPr>
          <w:p w14:paraId="668E9BFA" w14:textId="77777777" w:rsidR="007126A8" w:rsidRDefault="007126A8">
            <w:pPr>
              <w:rPr>
                <w:color w:val="000000"/>
                <w:sz w:val="22"/>
                <w:szCs w:val="22"/>
              </w:rPr>
            </w:pPr>
            <w:r>
              <w:rPr>
                <w:color w:val="000000"/>
                <w:sz w:val="22"/>
                <w:szCs w:val="22"/>
              </w:rPr>
              <w:t>Accelerated implementation of the 15% PRM requirement from January 2008 to June 2006.  Provided definition and clarification regarding the RA policy framework.  Key elements of the decision included load forecasting protocols, resource counting conventions, month-ahead compliance showings by LSEs in addition to year-ahead showings, and a policy that resources that qualify for RA compliance purposes should be obligated to bid into the CAISO’s day-ahead market if not scheduled by the LSE.</w:t>
            </w:r>
          </w:p>
        </w:tc>
      </w:tr>
    </w:tbl>
    <w:p w14:paraId="6B7C9C7B" w14:textId="77777777" w:rsidR="00EF7324" w:rsidRDefault="00EF7324"/>
    <w:sectPr w:rsidR="00EF7324" w:rsidSect="007A5A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4"/>
    <w:rsid w:val="00064838"/>
    <w:rsid w:val="00097160"/>
    <w:rsid w:val="000C332E"/>
    <w:rsid w:val="00181499"/>
    <w:rsid w:val="001B629B"/>
    <w:rsid w:val="00227845"/>
    <w:rsid w:val="00340BEF"/>
    <w:rsid w:val="00347AAB"/>
    <w:rsid w:val="003601E7"/>
    <w:rsid w:val="00364444"/>
    <w:rsid w:val="00396E54"/>
    <w:rsid w:val="003A0BC6"/>
    <w:rsid w:val="003A4AA4"/>
    <w:rsid w:val="003F0A20"/>
    <w:rsid w:val="00416BB0"/>
    <w:rsid w:val="004665F8"/>
    <w:rsid w:val="0048751A"/>
    <w:rsid w:val="004B37EC"/>
    <w:rsid w:val="004B444C"/>
    <w:rsid w:val="004B588B"/>
    <w:rsid w:val="00524CA0"/>
    <w:rsid w:val="005262ED"/>
    <w:rsid w:val="00540342"/>
    <w:rsid w:val="005A3727"/>
    <w:rsid w:val="006211F2"/>
    <w:rsid w:val="00697A9D"/>
    <w:rsid w:val="006B1550"/>
    <w:rsid w:val="006C5177"/>
    <w:rsid w:val="007126A8"/>
    <w:rsid w:val="00742BD4"/>
    <w:rsid w:val="00745D78"/>
    <w:rsid w:val="007A5AD1"/>
    <w:rsid w:val="007B7952"/>
    <w:rsid w:val="0082683A"/>
    <w:rsid w:val="00827ECB"/>
    <w:rsid w:val="00890228"/>
    <w:rsid w:val="008C5ADC"/>
    <w:rsid w:val="0092700E"/>
    <w:rsid w:val="009556ED"/>
    <w:rsid w:val="00A3120A"/>
    <w:rsid w:val="00A9506E"/>
    <w:rsid w:val="00AA4425"/>
    <w:rsid w:val="00AB7698"/>
    <w:rsid w:val="00B44AA4"/>
    <w:rsid w:val="00BA260E"/>
    <w:rsid w:val="00BF3C2C"/>
    <w:rsid w:val="00C32E9D"/>
    <w:rsid w:val="00D3786F"/>
    <w:rsid w:val="00D9125B"/>
    <w:rsid w:val="00DA51F4"/>
    <w:rsid w:val="00DF1643"/>
    <w:rsid w:val="00E67D14"/>
    <w:rsid w:val="00EC482B"/>
    <w:rsid w:val="00EF7324"/>
    <w:rsid w:val="00F7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F662"/>
  <w15:docId w15:val="{09E6DBCC-1FDF-7B40-9978-480E3EDF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F4"/>
    <w:pPr>
      <w:spacing w:after="0" w:line="240" w:lineRule="auto"/>
    </w:pPr>
    <w:rPr>
      <w:rFonts w:ascii="Palatino" w:eastAsia="Times New Roman" w:hAnsi="Palatino"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sid w:val="00DA51F4"/>
    <w:pPr>
      <w:spacing w:line="360" w:lineRule="auto"/>
      <w:ind w:firstLine="720"/>
    </w:pPr>
  </w:style>
  <w:style w:type="character" w:customStyle="1" w:styleId="standardChar">
    <w:name w:val="standard Char"/>
    <w:basedOn w:val="DefaultParagraphFont"/>
    <w:link w:val="standard"/>
    <w:rsid w:val="00DA51F4"/>
    <w:rPr>
      <w:rFonts w:ascii="Palatino" w:eastAsia="Times New Roman" w:hAnsi="Palatino" w:cs="Times New Roman"/>
      <w:sz w:val="26"/>
      <w:szCs w:val="20"/>
    </w:rPr>
  </w:style>
  <w:style w:type="paragraph" w:styleId="HTMLPreformatted">
    <w:name w:val="HTML Preformatted"/>
    <w:basedOn w:val="Normal"/>
    <w:link w:val="HTMLPreformattedChar"/>
    <w:rsid w:val="00DA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A51F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3120A"/>
    <w:rPr>
      <w:sz w:val="16"/>
      <w:szCs w:val="16"/>
    </w:rPr>
  </w:style>
  <w:style w:type="paragraph" w:styleId="CommentText">
    <w:name w:val="annotation text"/>
    <w:basedOn w:val="Normal"/>
    <w:link w:val="CommentTextChar"/>
    <w:uiPriority w:val="99"/>
    <w:semiHidden/>
    <w:unhideWhenUsed/>
    <w:rsid w:val="00A3120A"/>
    <w:rPr>
      <w:sz w:val="20"/>
    </w:rPr>
  </w:style>
  <w:style w:type="character" w:customStyle="1" w:styleId="CommentTextChar">
    <w:name w:val="Comment Text Char"/>
    <w:basedOn w:val="DefaultParagraphFont"/>
    <w:link w:val="CommentText"/>
    <w:uiPriority w:val="99"/>
    <w:semiHidden/>
    <w:rsid w:val="00A3120A"/>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A3120A"/>
    <w:rPr>
      <w:b/>
      <w:bCs/>
    </w:rPr>
  </w:style>
  <w:style w:type="character" w:customStyle="1" w:styleId="CommentSubjectChar">
    <w:name w:val="Comment Subject Char"/>
    <w:basedOn w:val="CommentTextChar"/>
    <w:link w:val="CommentSubject"/>
    <w:uiPriority w:val="99"/>
    <w:semiHidden/>
    <w:rsid w:val="00A3120A"/>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A3120A"/>
    <w:rPr>
      <w:rFonts w:ascii="Tahoma" w:hAnsi="Tahoma" w:cs="Tahoma"/>
      <w:sz w:val="16"/>
      <w:szCs w:val="16"/>
    </w:rPr>
  </w:style>
  <w:style w:type="character" w:customStyle="1" w:styleId="BalloonTextChar">
    <w:name w:val="Balloon Text Char"/>
    <w:basedOn w:val="DefaultParagraphFont"/>
    <w:link w:val="BalloonText"/>
    <w:uiPriority w:val="99"/>
    <w:semiHidden/>
    <w:rsid w:val="00A3120A"/>
    <w:rPr>
      <w:rFonts w:ascii="Tahoma" w:eastAsia="Times New Roman" w:hAnsi="Tahoma" w:cs="Tahoma"/>
      <w:sz w:val="16"/>
      <w:szCs w:val="16"/>
    </w:rPr>
  </w:style>
  <w:style w:type="character" w:styleId="Hyperlink">
    <w:name w:val="Hyperlink"/>
    <w:basedOn w:val="DefaultParagraphFont"/>
    <w:uiPriority w:val="99"/>
    <w:unhideWhenUsed/>
    <w:rsid w:val="00697A9D"/>
    <w:rPr>
      <w:color w:val="0000FF" w:themeColor="hyperlink"/>
      <w:u w:val="single"/>
    </w:rPr>
  </w:style>
  <w:style w:type="character" w:styleId="UnresolvedMention">
    <w:name w:val="Unresolved Mention"/>
    <w:basedOn w:val="DefaultParagraphFont"/>
    <w:uiPriority w:val="99"/>
    <w:semiHidden/>
    <w:unhideWhenUsed/>
    <w:rsid w:val="00C32E9D"/>
    <w:rPr>
      <w:color w:val="605E5C"/>
      <w:shd w:val="clear" w:color="auto" w:fill="E1DFDD"/>
    </w:rPr>
  </w:style>
  <w:style w:type="character" w:styleId="FollowedHyperlink">
    <w:name w:val="FollowedHyperlink"/>
    <w:basedOn w:val="DefaultParagraphFont"/>
    <w:uiPriority w:val="99"/>
    <w:semiHidden/>
    <w:unhideWhenUsed/>
    <w:rsid w:val="00742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40536">
      <w:bodyDiv w:val="1"/>
      <w:marLeft w:val="0"/>
      <w:marRight w:val="0"/>
      <w:marTop w:val="0"/>
      <w:marBottom w:val="0"/>
      <w:divBdr>
        <w:top w:val="none" w:sz="0" w:space="0" w:color="auto"/>
        <w:left w:val="none" w:sz="0" w:space="0" w:color="auto"/>
        <w:bottom w:val="none" w:sz="0" w:space="0" w:color="auto"/>
        <w:right w:val="none" w:sz="0" w:space="0" w:color="auto"/>
      </w:divBdr>
    </w:div>
    <w:div w:id="276109572">
      <w:bodyDiv w:val="1"/>
      <w:marLeft w:val="0"/>
      <w:marRight w:val="0"/>
      <w:marTop w:val="0"/>
      <w:marBottom w:val="0"/>
      <w:divBdr>
        <w:top w:val="none" w:sz="0" w:space="0" w:color="auto"/>
        <w:left w:val="none" w:sz="0" w:space="0" w:color="auto"/>
        <w:bottom w:val="none" w:sz="0" w:space="0" w:color="auto"/>
        <w:right w:val="none" w:sz="0" w:space="0" w:color="auto"/>
      </w:divBdr>
    </w:div>
    <w:div w:id="487328132">
      <w:bodyDiv w:val="1"/>
      <w:marLeft w:val="0"/>
      <w:marRight w:val="0"/>
      <w:marTop w:val="0"/>
      <w:marBottom w:val="0"/>
      <w:divBdr>
        <w:top w:val="none" w:sz="0" w:space="0" w:color="auto"/>
        <w:left w:val="none" w:sz="0" w:space="0" w:color="auto"/>
        <w:bottom w:val="none" w:sz="0" w:space="0" w:color="auto"/>
        <w:right w:val="none" w:sz="0" w:space="0" w:color="auto"/>
      </w:divBdr>
    </w:div>
    <w:div w:id="567149754">
      <w:bodyDiv w:val="1"/>
      <w:marLeft w:val="0"/>
      <w:marRight w:val="0"/>
      <w:marTop w:val="0"/>
      <w:marBottom w:val="0"/>
      <w:divBdr>
        <w:top w:val="none" w:sz="0" w:space="0" w:color="auto"/>
        <w:left w:val="none" w:sz="0" w:space="0" w:color="auto"/>
        <w:bottom w:val="none" w:sz="0" w:space="0" w:color="auto"/>
        <w:right w:val="none" w:sz="0" w:space="0" w:color="auto"/>
      </w:divBdr>
    </w:div>
    <w:div w:id="1170439582">
      <w:bodyDiv w:val="1"/>
      <w:marLeft w:val="0"/>
      <w:marRight w:val="0"/>
      <w:marTop w:val="0"/>
      <w:marBottom w:val="0"/>
      <w:divBdr>
        <w:top w:val="none" w:sz="0" w:space="0" w:color="auto"/>
        <w:left w:val="none" w:sz="0" w:space="0" w:color="auto"/>
        <w:bottom w:val="none" w:sz="0" w:space="0" w:color="auto"/>
        <w:right w:val="none" w:sz="0" w:space="0" w:color="auto"/>
      </w:divBdr>
    </w:div>
    <w:div w:id="1559903779">
      <w:bodyDiv w:val="1"/>
      <w:marLeft w:val="0"/>
      <w:marRight w:val="0"/>
      <w:marTop w:val="0"/>
      <w:marBottom w:val="0"/>
      <w:divBdr>
        <w:top w:val="none" w:sz="0" w:space="0" w:color="auto"/>
        <w:left w:val="none" w:sz="0" w:space="0" w:color="auto"/>
        <w:bottom w:val="none" w:sz="0" w:space="0" w:color="auto"/>
        <w:right w:val="none" w:sz="0" w:space="0" w:color="auto"/>
      </w:divBdr>
    </w:div>
    <w:div w:id="1633049662">
      <w:bodyDiv w:val="1"/>
      <w:marLeft w:val="0"/>
      <w:marRight w:val="0"/>
      <w:marTop w:val="0"/>
      <w:marBottom w:val="0"/>
      <w:divBdr>
        <w:top w:val="none" w:sz="0" w:space="0" w:color="auto"/>
        <w:left w:val="none" w:sz="0" w:space="0" w:color="auto"/>
        <w:bottom w:val="none" w:sz="0" w:space="0" w:color="auto"/>
        <w:right w:val="none" w:sz="0" w:space="0" w:color="auto"/>
      </w:divBdr>
    </w:div>
    <w:div w:id="1687711493">
      <w:bodyDiv w:val="1"/>
      <w:marLeft w:val="0"/>
      <w:marRight w:val="0"/>
      <w:marTop w:val="0"/>
      <w:marBottom w:val="0"/>
      <w:divBdr>
        <w:top w:val="none" w:sz="0" w:space="0" w:color="auto"/>
        <w:left w:val="none" w:sz="0" w:space="0" w:color="auto"/>
        <w:bottom w:val="none" w:sz="0" w:space="0" w:color="auto"/>
        <w:right w:val="none" w:sz="0" w:space="0" w:color="auto"/>
      </w:divBdr>
    </w:div>
    <w:div w:id="1801800309">
      <w:bodyDiv w:val="1"/>
      <w:marLeft w:val="0"/>
      <w:marRight w:val="0"/>
      <w:marTop w:val="0"/>
      <w:marBottom w:val="0"/>
      <w:divBdr>
        <w:top w:val="none" w:sz="0" w:space="0" w:color="auto"/>
        <w:left w:val="none" w:sz="0" w:space="0" w:color="auto"/>
        <w:bottom w:val="none" w:sz="0" w:space="0" w:color="auto"/>
        <w:right w:val="none" w:sz="0" w:space="0" w:color="auto"/>
      </w:divBdr>
    </w:div>
    <w:div w:id="19488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puc.ca.gov/PublishedDocs/Published/G000/M309/K463/309463502.PDF" TargetMode="External"/><Relationship Id="rId18" Type="http://schemas.openxmlformats.org/officeDocument/2006/relationships/hyperlink" Target="https://apps.cpuc.ca.gov/apex/f?p=401:56:0::NO:RP,57,RIR:P5_PROCEEDING_SELECT:R1709020" TargetMode="External"/><Relationship Id="rId26" Type="http://schemas.openxmlformats.org/officeDocument/2006/relationships/hyperlink" Target="https://apps.cpuc.ca.gov/apex/f?p=401:56:0::NO:RP,57,RIR:P5_PROCEEDING_SELECT:R1110023" TargetMode="External"/><Relationship Id="rId39" Type="http://schemas.openxmlformats.org/officeDocument/2006/relationships/hyperlink" Target="http://docs.cpuc.ca.gov/PublishedDocs/WORD_PDF/FINAL_DECISION/69513.PDF" TargetMode="External"/><Relationship Id="rId21" Type="http://schemas.openxmlformats.org/officeDocument/2006/relationships/hyperlink" Target="http://docs.cpuc.ca.gov/PublishedDocs/Published/G000/M164/K214/164214092.PDF" TargetMode="External"/><Relationship Id="rId34" Type="http://schemas.openxmlformats.org/officeDocument/2006/relationships/hyperlink" Target="https://apps.cpuc.ca.gov/apex/f?p=401:56:0::NO:RP,57,RIR:P5_PROCEEDING_SELECT:R0910032" TargetMode="External"/><Relationship Id="rId42" Type="http://schemas.openxmlformats.org/officeDocument/2006/relationships/hyperlink" Target="https://apps.cpuc.ca.gov/apex/f?p=401:56:0::NO:RP,57,RIR:P5_PROCEEDING_SELECT:R0404003" TargetMode="External"/><Relationship Id="rId47" Type="http://schemas.openxmlformats.org/officeDocument/2006/relationships/hyperlink" Target="http://docs.cpuc.ca.gov/PublishedDocs/WORD_PDF/FINAL_DECISION/55661.PDF" TargetMode="External"/><Relationship Id="rId50" Type="http://schemas.openxmlformats.org/officeDocument/2006/relationships/hyperlink" Target="https://apps.cpuc.ca.gov/apex/f?p=401:56:0::NO:RP,57,RIR:P5_PROCEEDING_SELECT:R0404003" TargetMode="External"/><Relationship Id="rId55" Type="http://schemas.openxmlformats.org/officeDocument/2006/relationships/fontTable" Target="fontTable.xml"/><Relationship Id="rId7" Type="http://schemas.openxmlformats.org/officeDocument/2006/relationships/hyperlink" Target="https://docs.cpuc.ca.gov/PublishedDocs/Published/G000/M342/K083/342083913.PDF" TargetMode="External"/><Relationship Id="rId2" Type="http://schemas.openxmlformats.org/officeDocument/2006/relationships/settings" Target="settings.xml"/><Relationship Id="rId16" Type="http://schemas.openxmlformats.org/officeDocument/2006/relationships/hyperlink" Target="https://apps.cpuc.ca.gov/apex/f?p=401:56:0::NO:RP,57,RIR:P5_PROCEEDING_SELECT:R1709020" TargetMode="External"/><Relationship Id="rId29" Type="http://schemas.openxmlformats.org/officeDocument/2006/relationships/hyperlink" Target="http://docs.cpuc.ca.gov/PublishedDocs/WORD_PDF/FINAL_DECISION/169718.PDF" TargetMode="External"/><Relationship Id="rId11" Type="http://schemas.openxmlformats.org/officeDocument/2006/relationships/hyperlink" Target="https://docs.cpuc.ca.gov/PublishedDocs/Published/G000/M340/K671/340671902.PDF" TargetMode="External"/><Relationship Id="rId24" Type="http://schemas.openxmlformats.org/officeDocument/2006/relationships/hyperlink" Target="https://apps.cpuc.ca.gov/apex/f?p=401:56:0::NO:RP,57,RIR:P5_PROCEEDING_SELECT:R1410010" TargetMode="External"/><Relationship Id="rId32" Type="http://schemas.openxmlformats.org/officeDocument/2006/relationships/hyperlink" Target="https://apps.cpuc.ca.gov/apex/f?p=401:56:0::NO:RP,57,RIR:P5_PROCEEDING_SELECT:R0910032" TargetMode="External"/><Relationship Id="rId37" Type="http://schemas.openxmlformats.org/officeDocument/2006/relationships/hyperlink" Target="http://docs.cpuc.ca.gov/PublishedDocs/WORD_PDF/FINAL_DECISION/84668.PDF" TargetMode="External"/><Relationship Id="rId40" Type="http://schemas.openxmlformats.org/officeDocument/2006/relationships/hyperlink" Target="https://apps.cpuc.ca.gov/apex/f?p=401:56:0::NO:RP,57,RIR:P5_PROCEEDING_SELECT:R0512013" TargetMode="External"/><Relationship Id="rId45" Type="http://schemas.openxmlformats.org/officeDocument/2006/relationships/hyperlink" Target="http://docs.cpuc.ca.gov/PublishedDocs/WORD_PDF/FINAL_DECISION/57644.PDF" TargetMode="External"/><Relationship Id="rId53" Type="http://schemas.openxmlformats.org/officeDocument/2006/relationships/hyperlink" Target="http://docs.cpuc.ca.gov/PublishedDocs/WORD_PDF/FINAL_DECISION/41112.PDF" TargetMode="External"/><Relationship Id="rId5" Type="http://schemas.openxmlformats.org/officeDocument/2006/relationships/hyperlink" Target="http://docs.cpuc.ca.gov/PublishedDocs/WORD_PDF/FINAL_RESOLUTION/93662.PDF" TargetMode="External"/><Relationship Id="rId10" Type="http://schemas.openxmlformats.org/officeDocument/2006/relationships/hyperlink" Target="https://apps.cpuc.ca.gov/apex/f?p=401:56:0::NO:RP,57,RIR:P5_PROCEEDING_SELECT:R1709020" TargetMode="External"/><Relationship Id="rId19" Type="http://schemas.openxmlformats.org/officeDocument/2006/relationships/hyperlink" Target="https://docs.cpuc.ca.gov/PublishedDocs/Published/G000/M192/K027/192027253.PDF" TargetMode="External"/><Relationship Id="rId31" Type="http://schemas.openxmlformats.org/officeDocument/2006/relationships/hyperlink" Target="http://docs.cpuc.ca.gov/PublishedDocs/WORD_PDF/FINAL_DECISION/138375.PDF" TargetMode="External"/><Relationship Id="rId44" Type="http://schemas.openxmlformats.org/officeDocument/2006/relationships/hyperlink" Target="https://apps.cpuc.ca.gov/apex/f?p=401:56:0::NO:RP,57,RIR:P5_PROCEEDING_SELECT:R0512013" TargetMode="External"/><Relationship Id="rId52" Type="http://schemas.openxmlformats.org/officeDocument/2006/relationships/hyperlink" Target="https://apps.cpuc.ca.gov/apex/f?p=401:56:0::NO:RP,57,RIR:P5_PROCEEDING_SELECT:R0404003" TargetMode="External"/><Relationship Id="rId4" Type="http://schemas.openxmlformats.org/officeDocument/2006/relationships/hyperlink" Target="https://docs.cpuc.ca.gov/PublishedDocs/Published/G000/M210/K016/210016662.PDF" TargetMode="External"/><Relationship Id="rId9" Type="http://schemas.openxmlformats.org/officeDocument/2006/relationships/hyperlink" Target="https://docs.cpuc.ca.gov/PublishedDocs/Published/G000/M342/K516/342516267.PDF" TargetMode="External"/><Relationship Id="rId14" Type="http://schemas.openxmlformats.org/officeDocument/2006/relationships/hyperlink" Target="https://apps.cpuc.ca.gov/apex/f?p=401:56:0::NO:RP,57,RIR:P5_PROCEEDING_SELECT:R1709020" TargetMode="External"/><Relationship Id="rId22" Type="http://schemas.openxmlformats.org/officeDocument/2006/relationships/hyperlink" Target="https://apps.cpuc.ca.gov/apex/f?p=401:56:0::NO:RP,57,RIR:P5_PROCEEDING_SELECT:R1410010" TargetMode="External"/><Relationship Id="rId27" Type="http://schemas.openxmlformats.org/officeDocument/2006/relationships/hyperlink" Target="http://docs.cpuc.ca.gov/PublishedDocs/Published/G000/M070/K423/70423172.PDF" TargetMode="External"/><Relationship Id="rId30" Type="http://schemas.openxmlformats.org/officeDocument/2006/relationships/hyperlink" Target="https://apps.cpuc.ca.gov/apex/f?p=401:56:0::NO:RP,57,RIR:P5_PROCEEDING_SELECT:R1110023" TargetMode="External"/><Relationship Id="rId35" Type="http://schemas.openxmlformats.org/officeDocument/2006/relationships/hyperlink" Target="http://docs.cpuc.ca.gov/PublishedDocs/WORD_PDF/FINAL_DECISION/102755.PDF" TargetMode="External"/><Relationship Id="rId43" Type="http://schemas.openxmlformats.org/officeDocument/2006/relationships/hyperlink" Target="http://docs.cpuc.ca.gov/PublishedDocs/WORD_PDF/FINAL_DECISION/58320.PDF" TargetMode="External"/><Relationship Id="rId48" Type="http://schemas.openxmlformats.org/officeDocument/2006/relationships/hyperlink" Target="https://apps.cpuc.ca.gov/apex/f?p=401:56:0::NO:RP,57,RIR:P5_PROCEEDING_SELECT:R0404003" TargetMode="External"/><Relationship Id="rId56" Type="http://schemas.openxmlformats.org/officeDocument/2006/relationships/theme" Target="theme/theme1.xml"/><Relationship Id="rId8" Type="http://schemas.openxmlformats.org/officeDocument/2006/relationships/hyperlink" Target="https://apps.cpuc.ca.gov/apex/f?p=401:56:0::NO:RP,57,RIR:P5_PROCEEDING_SELECT:R1911009" TargetMode="External"/><Relationship Id="rId51" Type="http://schemas.openxmlformats.org/officeDocument/2006/relationships/hyperlink" Target="http://docs.cpuc.ca.gov/PublishedDocs/WORD_PDF/FINAL_DECISION/50731.PDF" TargetMode="External"/><Relationship Id="rId3" Type="http://schemas.openxmlformats.org/officeDocument/2006/relationships/webSettings" Target="webSettings.xml"/><Relationship Id="rId12" Type="http://schemas.openxmlformats.org/officeDocument/2006/relationships/hyperlink" Target="https://apps.cpuc.ca.gov/apex/f?p=401:56:0::NO:RP,57,RIR:P5_PROCEEDING_SELECT:R1709020" TargetMode="External"/><Relationship Id="rId17" Type="http://schemas.openxmlformats.org/officeDocument/2006/relationships/hyperlink" Target="https://docs.cpuc.ca.gov/PublishedDocs/Published/G000/M216/K634/216634123.PDF" TargetMode="External"/><Relationship Id="rId25" Type="http://schemas.openxmlformats.org/officeDocument/2006/relationships/hyperlink" Target="http://docs.cpuc.ca.gov/PublishedDocs/Published/G000/M097/K619/97619935.PDF" TargetMode="External"/><Relationship Id="rId33" Type="http://schemas.openxmlformats.org/officeDocument/2006/relationships/hyperlink" Target="http://docs.cpuc.ca.gov/PublishedDocs/WORD_PDF/FINAL_DECISION/119856.PDF" TargetMode="External"/><Relationship Id="rId38" Type="http://schemas.openxmlformats.org/officeDocument/2006/relationships/hyperlink" Target="https://apps.cpuc.ca.gov/apex/f?p=401:56:0::NO:RP,57,RIR:P5_PROCEEDING_SELECT:R0801025" TargetMode="External"/><Relationship Id="rId46" Type="http://schemas.openxmlformats.org/officeDocument/2006/relationships/hyperlink" Target="https://apps.cpuc.ca.gov/apex/f?p=401:56:0::NO:RP,57,RIR:P5_PROCEEDING_SELECT:R0512013" TargetMode="External"/><Relationship Id="rId20" Type="http://schemas.openxmlformats.org/officeDocument/2006/relationships/hyperlink" Target="https://apps.cpuc.ca.gov/apex/f?p=401:56:0::NO:RP,57,RIR:P5_PROCEEDING_SELECT:R1410010" TargetMode="External"/><Relationship Id="rId41" Type="http://schemas.openxmlformats.org/officeDocument/2006/relationships/hyperlink" Target="http://docs.cpuc.ca.gov/PublishedDocs/WORD_PDF/FINAL_DECISION/62934.PDF" TargetMode="External"/><Relationship Id="rId54" Type="http://schemas.openxmlformats.org/officeDocument/2006/relationships/hyperlink" Target="https://apps.cpuc.ca.gov/apex/f?p=401:56:0::NO:RP,57,RIR:P5_PROCEEDING_SELECT:R0404003" TargetMode="External"/><Relationship Id="rId1" Type="http://schemas.openxmlformats.org/officeDocument/2006/relationships/styles" Target="styles.xml"/><Relationship Id="rId6" Type="http://schemas.openxmlformats.org/officeDocument/2006/relationships/hyperlink" Target="http://docs.cpuc.ca.gov/PublishedDocs/WORD_PDF/FINAL_RESOLUTION/94846.PDF" TargetMode="External"/><Relationship Id="rId15" Type="http://schemas.openxmlformats.org/officeDocument/2006/relationships/hyperlink" Target="https://docs.cpuc.ca.gov/PublishedDocs/Published/G000/M217/K015/217015083.PDF" TargetMode="External"/><Relationship Id="rId23" Type="http://schemas.openxmlformats.org/officeDocument/2006/relationships/hyperlink" Target="http://docs.cpuc.ca.gov/PublishedDocs/Published/G000/M152/K977/152977475.PDF" TargetMode="External"/><Relationship Id="rId28" Type="http://schemas.openxmlformats.org/officeDocument/2006/relationships/hyperlink" Target="https://apps.cpuc.ca.gov/apex/f?p=401:56:0::NO:RP,57,RIR:P5_PROCEEDING_SELECT:R1110023" TargetMode="External"/><Relationship Id="rId36" Type="http://schemas.openxmlformats.org/officeDocument/2006/relationships/hyperlink" Target="https://apps.cpuc.ca.gov/apex/f?p=401:56:0::NO:RP,57,RIR:P5_PROCEEDING_SELECT:R0801025" TargetMode="External"/><Relationship Id="rId49" Type="http://schemas.openxmlformats.org/officeDocument/2006/relationships/hyperlink" Target="http://docs.cpuc.ca.gov/PublishedDocs/WORD_PDF/FINAL_DECISION/537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You-Young (Clover)</dc:creator>
  <cp:lastModifiedBy>Jonathan L. Lakey</cp:lastModifiedBy>
  <cp:revision>2</cp:revision>
  <dcterms:created xsi:type="dcterms:W3CDTF">2021-01-26T23:57:00Z</dcterms:created>
  <dcterms:modified xsi:type="dcterms:W3CDTF">2021-01-26T23:57:00Z</dcterms:modified>
</cp:coreProperties>
</file>