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DB" w:rsidRDefault="00B352DE">
      <w:bookmarkStart w:id="0" w:name="_GoBack"/>
      <w:bookmarkEnd w:id="0"/>
      <w:r>
        <w:rPr>
          <w:noProof/>
        </w:rPr>
        <w:drawing>
          <wp:inline distT="0" distB="0" distL="0" distR="0" wp14:anchorId="31017B9E" wp14:editId="20F02528">
            <wp:extent cx="5824220" cy="929005"/>
            <wp:effectExtent l="0" t="0" r="5080" b="444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422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2DE" w:rsidRDefault="00B352DE" w:rsidP="00B352DE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Interconnection of storage battery systems</w:t>
      </w:r>
    </w:p>
    <w:p w:rsidR="00B352DE" w:rsidRDefault="00B352DE" w:rsidP="00B352DE">
      <w:pPr>
        <w:rPr>
          <w:i/>
          <w:sz w:val="28"/>
          <w:szCs w:val="28"/>
        </w:rPr>
      </w:pPr>
      <w:r w:rsidRPr="0002485B">
        <w:rPr>
          <w:i/>
          <w:sz w:val="28"/>
          <w:szCs w:val="28"/>
        </w:rPr>
        <w:t xml:space="preserve">Field Inspection Guidelines for interconnected residential battery storage systems </w:t>
      </w:r>
    </w:p>
    <w:p w:rsidR="0002485B" w:rsidRPr="0002485B" w:rsidRDefault="0002485B" w:rsidP="00B352DE">
      <w:pPr>
        <w:rPr>
          <w:i/>
          <w:sz w:val="28"/>
          <w:szCs w:val="28"/>
        </w:rPr>
      </w:pPr>
    </w:p>
    <w:p w:rsidR="00B352DE" w:rsidRPr="004B3A5C" w:rsidRDefault="00B352DE" w:rsidP="00B352DE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 w:rsidRPr="004B3A5C">
        <w:rPr>
          <w:rFonts w:ascii="Arial" w:eastAsia="Arial" w:hAnsi="Arial" w:cs="Arial"/>
        </w:rPr>
        <w:t>Storage batteries for dwellings have the cells connected to operate at less than 50 volts. (NEC 690.71(B)(1))</w:t>
      </w:r>
    </w:p>
    <w:p w:rsidR="00B352DE" w:rsidRPr="004B3A5C" w:rsidRDefault="00B352DE" w:rsidP="00B352DE">
      <w:pPr>
        <w:tabs>
          <w:tab w:val="left" w:pos="720"/>
        </w:tabs>
        <w:rPr>
          <w:rFonts w:ascii="Arial" w:eastAsia="Arial" w:hAnsi="Arial" w:cs="Arial"/>
        </w:rPr>
      </w:pPr>
    </w:p>
    <w:p w:rsidR="00B352DE" w:rsidRPr="004B3A5C" w:rsidRDefault="00B352DE" w:rsidP="00B352DE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 w:rsidRPr="004B3A5C">
        <w:rPr>
          <w:rFonts w:ascii="Arial" w:eastAsia="Arial" w:hAnsi="Arial" w:cs="Arial"/>
        </w:rPr>
        <w:t>Live parts of battery systems for dwellings are guarded to prevent accidental contact by persons or objects. (NEC 690.71(B)(2))</w:t>
      </w:r>
    </w:p>
    <w:p w:rsidR="00B352DE" w:rsidRPr="004B3A5C" w:rsidRDefault="00B352DE" w:rsidP="00B352DE">
      <w:pPr>
        <w:rPr>
          <w:rFonts w:ascii="Arial" w:eastAsia="Arial" w:hAnsi="Arial" w:cs="Arial"/>
          <w:b/>
        </w:rPr>
      </w:pPr>
    </w:p>
    <w:p w:rsidR="00B352DE" w:rsidRPr="004B3A5C" w:rsidRDefault="00B352DE" w:rsidP="00B352DE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 w:rsidRPr="004B3A5C">
        <w:rPr>
          <w:rFonts w:ascii="Arial" w:eastAsia="Arial" w:hAnsi="Arial" w:cs="Arial"/>
        </w:rPr>
        <w:t>Flexible battery cables are listed RHW or THW, 2/0 minimum for battery cell connections. (NEC 690.74) NOTE: welding cables, marine, locomotive (DLO), and automotive cables do not meet the current Electrical Code requirements. (NEC 110.3(A) &amp; (B))</w:t>
      </w:r>
    </w:p>
    <w:p w:rsidR="00B352DE" w:rsidRPr="004B3A5C" w:rsidRDefault="00B352DE" w:rsidP="00B352DE">
      <w:pPr>
        <w:rPr>
          <w:rFonts w:ascii="Arial" w:eastAsia="Arial" w:hAnsi="Arial" w:cs="Arial"/>
        </w:rPr>
      </w:pPr>
    </w:p>
    <w:p w:rsidR="00B352DE" w:rsidRPr="004B3A5C" w:rsidRDefault="00B352DE" w:rsidP="00B352DE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 w:rsidRPr="004B3A5C">
        <w:rPr>
          <w:rFonts w:ascii="Arial" w:eastAsia="Arial" w:hAnsi="Arial" w:cs="Arial"/>
        </w:rPr>
        <w:t>Flexible battery cables do not leave the battery enclosure. (NEC 690.74 &amp; 400.8)</w:t>
      </w:r>
    </w:p>
    <w:p w:rsidR="00B352DE" w:rsidRPr="004B3A5C" w:rsidRDefault="00B352DE" w:rsidP="00B352DE">
      <w:pPr>
        <w:rPr>
          <w:rFonts w:ascii="Arial" w:eastAsia="Arial" w:hAnsi="Arial" w:cs="Arial"/>
          <w:b/>
        </w:rPr>
      </w:pPr>
    </w:p>
    <w:p w:rsidR="00B352DE" w:rsidRPr="004B3A5C" w:rsidRDefault="00B352DE" w:rsidP="00B352DE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 w:rsidRPr="004B3A5C">
        <w:rPr>
          <w:rFonts w:ascii="Arial" w:eastAsia="Arial" w:hAnsi="Arial" w:cs="Arial"/>
        </w:rPr>
        <w:t>Flexible, fine strand cables are only be used with terminals, lugs, devices, and connectors that are listed and marked for such use. (NEC 690.31(F), 690.74, 110.3(B) &amp; 110.14)</w:t>
      </w:r>
    </w:p>
    <w:p w:rsidR="00B352DE" w:rsidRPr="004B3A5C" w:rsidRDefault="00B352DE" w:rsidP="00B352DE">
      <w:pPr>
        <w:tabs>
          <w:tab w:val="left" w:pos="720"/>
        </w:tabs>
        <w:rPr>
          <w:rFonts w:ascii="Arial" w:eastAsia="Arial" w:hAnsi="Arial" w:cs="Arial"/>
        </w:rPr>
      </w:pPr>
    </w:p>
    <w:p w:rsidR="00B352DE" w:rsidRPr="004B3A5C" w:rsidRDefault="00B352DE" w:rsidP="00B352DE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 w:rsidRPr="004B3A5C">
        <w:rPr>
          <w:rFonts w:ascii="Arial" w:eastAsia="Arial" w:hAnsi="Arial" w:cs="Arial"/>
        </w:rPr>
        <w:t xml:space="preserve">High interrupt, listed, DC rated fuses or circuit breakers are used in battery circuits. The AIC is at least 20,000 amps. (NEC 690.71(C) &amp; 110.9) </w:t>
      </w:r>
    </w:p>
    <w:p w:rsidR="00B352DE" w:rsidRPr="004B3A5C" w:rsidRDefault="00B352DE" w:rsidP="00B352DE">
      <w:pPr>
        <w:rPr>
          <w:rFonts w:ascii="Arial" w:eastAsia="Arial" w:hAnsi="Arial" w:cs="Arial"/>
        </w:rPr>
      </w:pPr>
    </w:p>
    <w:p w:rsidR="00B352DE" w:rsidRPr="004B3A5C" w:rsidRDefault="00B352DE" w:rsidP="00B352DE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 w:rsidRPr="004B3A5C">
        <w:rPr>
          <w:rFonts w:ascii="Arial" w:eastAsia="Arial" w:hAnsi="Arial" w:cs="Arial"/>
        </w:rPr>
        <w:t>Cables to inverters, DC load centers, and/or charge controllers are in a conduit. (NEC 690.31(A) &amp; 690.31(E))</w:t>
      </w:r>
    </w:p>
    <w:p w:rsidR="00B352DE" w:rsidRPr="004B3A5C" w:rsidRDefault="00B352DE" w:rsidP="00B352DE">
      <w:pPr>
        <w:rPr>
          <w:rFonts w:ascii="Arial" w:eastAsia="Arial" w:hAnsi="Arial" w:cs="Arial"/>
        </w:rPr>
      </w:pPr>
    </w:p>
    <w:p w:rsidR="00B352DE" w:rsidRPr="004B3A5C" w:rsidRDefault="00B352DE" w:rsidP="00B352DE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 w:rsidRPr="004B3A5C">
        <w:rPr>
          <w:rFonts w:ascii="Arial" w:eastAsia="Arial" w:hAnsi="Arial" w:cs="Arial"/>
        </w:rPr>
        <w:t>Conduits enter the battery enclosure below the tops of the batteries. NOTE: this is to avoid accidental ventilation of gases into electrical equipment where sparks may occur. Follow battery enclosure manufacturer's instructions for venting and conduit locations. (NEC 110.3(B), 480.9(A) &amp; 480.10)</w:t>
      </w:r>
    </w:p>
    <w:p w:rsidR="00B352DE" w:rsidRPr="004B3A5C" w:rsidRDefault="00B352DE" w:rsidP="00B352DE">
      <w:pPr>
        <w:rPr>
          <w:rFonts w:ascii="Arial" w:eastAsia="Arial" w:hAnsi="Arial" w:cs="Arial"/>
        </w:rPr>
      </w:pPr>
    </w:p>
    <w:p w:rsidR="00B352DE" w:rsidRPr="004B3A5C" w:rsidRDefault="00B352DE" w:rsidP="00B352DE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 w:rsidRPr="004B3A5C">
        <w:rPr>
          <w:rFonts w:ascii="Arial" w:eastAsia="Arial" w:hAnsi="Arial" w:cs="Arial"/>
        </w:rPr>
        <w:t>A disconnect means is provided for all ungrounded conductors derived from a stationary battery system over 30 volts. (NEC 480.5 &amp; 690.15) NOTE: see NEC 690.71(E) for additional service disconnecting means requirements for series connected battery circuits.</w:t>
      </w:r>
    </w:p>
    <w:p w:rsidR="00B352DE" w:rsidRPr="004B3A5C" w:rsidRDefault="00B352DE" w:rsidP="00B352DE">
      <w:pPr>
        <w:rPr>
          <w:rFonts w:ascii="Arial" w:eastAsia="Arial" w:hAnsi="Arial" w:cs="Arial"/>
        </w:rPr>
      </w:pPr>
    </w:p>
    <w:p w:rsidR="00B352DE" w:rsidRDefault="00B352DE" w:rsidP="00B352DE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 w:rsidRPr="004B3A5C">
        <w:rPr>
          <w:rFonts w:ascii="Arial" w:eastAsia="Arial" w:hAnsi="Arial" w:cs="Arial"/>
        </w:rPr>
        <w:lastRenderedPageBreak/>
        <w:t>Area is well ventilated and the batteries are not installed in living areas. (NEC 408.9(A) &amp; 408.10)</w:t>
      </w:r>
    </w:p>
    <w:p w:rsidR="00167315" w:rsidRDefault="00167315" w:rsidP="00167315">
      <w:pPr>
        <w:pStyle w:val="ListParagraph"/>
        <w:rPr>
          <w:rFonts w:ascii="Arial" w:eastAsia="Arial" w:hAnsi="Arial" w:cs="Arial"/>
        </w:rPr>
      </w:pPr>
    </w:p>
    <w:p w:rsidR="00167315" w:rsidRDefault="00167315" w:rsidP="00B352DE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Charge control equipment shall be provided to control the charging process of the battery in accordance with NEC 690.72</w:t>
      </w:r>
    </w:p>
    <w:p w:rsidR="00A7356F" w:rsidRPr="00167315" w:rsidRDefault="00A7356F" w:rsidP="00167315">
      <w:pPr>
        <w:rPr>
          <w:rFonts w:ascii="Arial" w:eastAsia="Arial" w:hAnsi="Arial" w:cs="Arial"/>
        </w:rPr>
      </w:pPr>
    </w:p>
    <w:p w:rsidR="00A7356F" w:rsidRPr="00A7356F" w:rsidRDefault="00A7356F" w:rsidP="00A7356F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Photovoltaic power systems which use utility interactive inverters to control the state of charge by diverting power to the utility shall have a second independent means of controlling the battery charging process when the utility is not present. 690.72(B</w:t>
      </w:r>
      <w:proofErr w:type="gramStart"/>
      <w:r>
        <w:rPr>
          <w:rFonts w:ascii="Arial" w:eastAsia="Arial" w:hAnsi="Arial" w:cs="Arial"/>
        </w:rPr>
        <w:t>)(</w:t>
      </w:r>
      <w:proofErr w:type="gramEnd"/>
      <w:r>
        <w:rPr>
          <w:rFonts w:ascii="Arial" w:eastAsia="Arial" w:hAnsi="Arial" w:cs="Arial"/>
        </w:rPr>
        <w:t>3).</w:t>
      </w:r>
    </w:p>
    <w:p w:rsidR="00A7356F" w:rsidRDefault="00A7356F" w:rsidP="00A7356F">
      <w:pPr>
        <w:pStyle w:val="ListParagraph"/>
        <w:rPr>
          <w:rFonts w:ascii="Arial" w:eastAsia="Arial" w:hAnsi="Arial" w:cs="Arial"/>
        </w:rPr>
      </w:pPr>
    </w:p>
    <w:p w:rsidR="00655B4B" w:rsidRDefault="00167315" w:rsidP="002E107F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i</w:t>
      </w:r>
      <w:r w:rsidR="00A7356F" w:rsidRPr="00167315">
        <w:rPr>
          <w:rFonts w:ascii="Arial" w:eastAsia="Arial" w:hAnsi="Arial" w:cs="Arial"/>
        </w:rPr>
        <w:t xml:space="preserve">nterconnection of electrical power systems shall comply with </w:t>
      </w:r>
      <w:r>
        <w:rPr>
          <w:rFonts w:ascii="Arial" w:eastAsia="Arial" w:hAnsi="Arial" w:cs="Arial"/>
        </w:rPr>
        <w:t xml:space="preserve">NEC Article </w:t>
      </w:r>
      <w:r w:rsidR="00A7356F" w:rsidRPr="00167315">
        <w:rPr>
          <w:rFonts w:ascii="Arial" w:eastAsia="Arial" w:hAnsi="Arial" w:cs="Arial"/>
        </w:rPr>
        <w:t>705</w:t>
      </w:r>
    </w:p>
    <w:p w:rsidR="00655B4B" w:rsidRDefault="00655B4B" w:rsidP="00655B4B">
      <w:pPr>
        <w:tabs>
          <w:tab w:val="left" w:pos="720"/>
        </w:tabs>
        <w:spacing w:after="0" w:line="240" w:lineRule="auto"/>
        <w:ind w:left="720"/>
        <w:rPr>
          <w:rFonts w:ascii="Arial" w:eastAsia="Arial" w:hAnsi="Arial" w:cs="Arial"/>
        </w:rPr>
      </w:pPr>
    </w:p>
    <w:p w:rsidR="00655B4B" w:rsidRDefault="00655B4B" w:rsidP="00655B4B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Utility interactive Inverters shall be listed to UL 1741</w:t>
      </w:r>
    </w:p>
    <w:p w:rsidR="00655B4B" w:rsidRDefault="00655B4B" w:rsidP="00655B4B">
      <w:pPr>
        <w:pStyle w:val="ListParagraph"/>
        <w:rPr>
          <w:rFonts w:ascii="Arial" w:eastAsia="Arial" w:hAnsi="Arial" w:cs="Arial"/>
        </w:rPr>
      </w:pPr>
    </w:p>
    <w:p w:rsidR="00655B4B" w:rsidRPr="004B3A5C" w:rsidRDefault="00A7356F" w:rsidP="00655B4B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 w:rsidRPr="00167315">
        <w:rPr>
          <w:rFonts w:ascii="Arial" w:eastAsia="Arial" w:hAnsi="Arial" w:cs="Arial"/>
        </w:rPr>
        <w:t xml:space="preserve"> </w:t>
      </w:r>
      <w:r w:rsidR="00655B4B" w:rsidRPr="004B3A5C">
        <w:rPr>
          <w:rFonts w:ascii="Arial" w:eastAsia="Arial" w:hAnsi="Arial" w:cs="Arial"/>
        </w:rPr>
        <w:t>Point of connection is at a dedicated breaker or disconnect. NEC 705.12</w:t>
      </w:r>
      <w:r w:rsidR="00655B4B">
        <w:rPr>
          <w:rFonts w:ascii="Arial" w:eastAsia="Arial" w:hAnsi="Arial" w:cs="Arial"/>
        </w:rPr>
        <w:t>(D)(1)</w:t>
      </w:r>
    </w:p>
    <w:p w:rsidR="00655B4B" w:rsidRPr="004B3A5C" w:rsidRDefault="00655B4B" w:rsidP="00655B4B">
      <w:pPr>
        <w:rPr>
          <w:rFonts w:ascii="Arial" w:eastAsia="Arial" w:hAnsi="Arial" w:cs="Arial"/>
        </w:rPr>
      </w:pPr>
    </w:p>
    <w:p w:rsidR="00A7356F" w:rsidRDefault="00655B4B" w:rsidP="00655B4B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 w:rsidRPr="004B3A5C">
        <w:rPr>
          <w:rFonts w:ascii="Arial" w:eastAsia="Arial" w:hAnsi="Arial" w:cs="Arial"/>
        </w:rPr>
        <w:t xml:space="preserve">Total rating of the overcurrent devices supplying equipment does not exceed 120% of the equipment rating. </w:t>
      </w:r>
      <w:r>
        <w:rPr>
          <w:rFonts w:ascii="Arial" w:eastAsia="Arial" w:hAnsi="Arial" w:cs="Arial"/>
        </w:rPr>
        <w:t>NEC 705.12(D)(2)</w:t>
      </w:r>
    </w:p>
    <w:p w:rsidR="00655B4B" w:rsidRDefault="00655B4B" w:rsidP="00655B4B">
      <w:pPr>
        <w:pStyle w:val="ListParagraph"/>
        <w:rPr>
          <w:rFonts w:ascii="Arial" w:eastAsia="Arial" w:hAnsi="Arial" w:cs="Arial"/>
        </w:rPr>
      </w:pPr>
    </w:p>
    <w:p w:rsidR="00655B4B" w:rsidRPr="00655B4B" w:rsidRDefault="00655B4B" w:rsidP="00655B4B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Utility interactive power systems employing energy storage shall be marked with the maximum operating voltage, including any equalization voltage, and the polarity of the grounded circuit conductor. NEC 705.80</w:t>
      </w:r>
    </w:p>
    <w:p w:rsidR="00167315" w:rsidRPr="00167315" w:rsidRDefault="00167315" w:rsidP="00167315">
      <w:pPr>
        <w:rPr>
          <w:rFonts w:ascii="Arial" w:eastAsia="Arial" w:hAnsi="Arial" w:cs="Arial"/>
        </w:rPr>
      </w:pPr>
    </w:p>
    <w:p w:rsidR="0002485B" w:rsidRDefault="0002485B" w:rsidP="00655B4B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167315">
        <w:rPr>
          <w:rFonts w:ascii="Arial" w:eastAsia="Arial" w:hAnsi="Arial" w:cs="Arial"/>
        </w:rPr>
        <w:t xml:space="preserve"> system maintenance plan shall be submitted </w:t>
      </w:r>
      <w:r>
        <w:rPr>
          <w:rFonts w:ascii="Arial" w:eastAsia="Arial" w:hAnsi="Arial" w:cs="Arial"/>
        </w:rPr>
        <w:t xml:space="preserve">to the building inspection office </w:t>
      </w:r>
      <w:r w:rsidR="00167315">
        <w:rPr>
          <w:rFonts w:ascii="Arial" w:eastAsia="Arial" w:hAnsi="Arial" w:cs="Arial"/>
        </w:rPr>
        <w:t xml:space="preserve">at time of permit application </w:t>
      </w:r>
      <w:r>
        <w:rPr>
          <w:rFonts w:ascii="Arial" w:eastAsia="Arial" w:hAnsi="Arial" w:cs="Arial"/>
        </w:rPr>
        <w:t xml:space="preserve">in order </w:t>
      </w:r>
      <w:r w:rsidR="00167315">
        <w:rPr>
          <w:rFonts w:ascii="Arial" w:eastAsia="Arial" w:hAnsi="Arial" w:cs="Arial"/>
        </w:rPr>
        <w:t>to ensure the homeowner is aware of the system maintenance requirements.</w:t>
      </w:r>
    </w:p>
    <w:p w:rsidR="00655B4B" w:rsidRPr="00655B4B" w:rsidRDefault="00655B4B" w:rsidP="00655B4B">
      <w:pPr>
        <w:tabs>
          <w:tab w:val="left" w:pos="720"/>
        </w:tabs>
        <w:spacing w:after="0" w:line="240" w:lineRule="auto"/>
        <w:ind w:left="720"/>
        <w:rPr>
          <w:rFonts w:ascii="Arial" w:eastAsia="Arial" w:hAnsi="Arial" w:cs="Arial"/>
        </w:rPr>
      </w:pPr>
    </w:p>
    <w:p w:rsidR="00A7356F" w:rsidRDefault="0002485B" w:rsidP="001048F5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 w:rsidRPr="0002485B">
        <w:rPr>
          <w:rFonts w:ascii="Arial" w:eastAsia="Arial" w:hAnsi="Arial" w:cs="Arial"/>
        </w:rPr>
        <w:t xml:space="preserve">Energy storage systems shall be listed to UL </w:t>
      </w:r>
      <w:r>
        <w:rPr>
          <w:rFonts w:ascii="Arial" w:eastAsia="Arial" w:hAnsi="Arial" w:cs="Arial"/>
        </w:rPr>
        <w:t xml:space="preserve">1989 or </w:t>
      </w:r>
      <w:r w:rsidRPr="0002485B">
        <w:rPr>
          <w:rFonts w:ascii="Arial" w:eastAsia="Arial" w:hAnsi="Arial" w:cs="Arial"/>
        </w:rPr>
        <w:t xml:space="preserve">9540 </w:t>
      </w:r>
      <w:r>
        <w:rPr>
          <w:rFonts w:ascii="Arial" w:eastAsia="Arial" w:hAnsi="Arial" w:cs="Arial"/>
        </w:rPr>
        <w:t>as applicable.</w:t>
      </w:r>
    </w:p>
    <w:p w:rsidR="0002485B" w:rsidRDefault="0002485B" w:rsidP="0002485B">
      <w:pPr>
        <w:pStyle w:val="ListParagraph"/>
        <w:rPr>
          <w:rFonts w:ascii="Arial" w:eastAsia="Arial" w:hAnsi="Arial" w:cs="Arial"/>
        </w:rPr>
      </w:pPr>
    </w:p>
    <w:p w:rsidR="0002485B" w:rsidRDefault="0002485B" w:rsidP="001048F5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Applicant must provide a letter from the serving utility indicating they have been notified of the proposed battery/ energy storage system installation.</w:t>
      </w:r>
    </w:p>
    <w:p w:rsidR="0002485B" w:rsidRDefault="0002485B" w:rsidP="0002485B">
      <w:pPr>
        <w:pStyle w:val="ListParagraph"/>
        <w:rPr>
          <w:rFonts w:ascii="Arial" w:eastAsia="Arial" w:hAnsi="Arial" w:cs="Arial"/>
        </w:rPr>
      </w:pPr>
    </w:p>
    <w:p w:rsidR="0002485B" w:rsidRDefault="0002485B" w:rsidP="001048F5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appropriate signage must be installed in accordance with NEC (see Santa Clara County interconnected power system signage guidelines).</w:t>
      </w:r>
    </w:p>
    <w:p w:rsidR="0002485B" w:rsidRDefault="0002485B" w:rsidP="0002485B">
      <w:pPr>
        <w:pStyle w:val="ListParagraph"/>
        <w:rPr>
          <w:rFonts w:ascii="Arial" w:eastAsia="Arial" w:hAnsi="Arial" w:cs="Arial"/>
        </w:rPr>
      </w:pPr>
    </w:p>
    <w:p w:rsidR="0002485B" w:rsidRPr="0002485B" w:rsidRDefault="0002485B" w:rsidP="001048F5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 field modifications to the electrical service, or line side connections are subject to field inspector approval and may require accredited third party field evaluation.</w:t>
      </w:r>
    </w:p>
    <w:p w:rsidR="00B352DE" w:rsidRPr="00B352DE" w:rsidRDefault="00B352DE" w:rsidP="00B352DE">
      <w:pPr>
        <w:ind w:left="360"/>
        <w:rPr>
          <w:sz w:val="28"/>
          <w:szCs w:val="28"/>
        </w:rPr>
      </w:pPr>
    </w:p>
    <w:sectPr w:rsidR="00B352DE" w:rsidRPr="00B352DE" w:rsidSect="0002485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4DF"/>
    <w:multiLevelType w:val="hybridMultilevel"/>
    <w:tmpl w:val="92B80986"/>
    <w:lvl w:ilvl="0" w:tplc="FCCA5C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9181B"/>
    <w:multiLevelType w:val="hybridMultilevel"/>
    <w:tmpl w:val="81E82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22D5E"/>
    <w:multiLevelType w:val="hybridMultilevel"/>
    <w:tmpl w:val="53C2B92E"/>
    <w:lvl w:ilvl="0" w:tplc="FCCA5C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DE"/>
    <w:rsid w:val="0002485B"/>
    <w:rsid w:val="00167315"/>
    <w:rsid w:val="005B08DB"/>
    <w:rsid w:val="00655B4B"/>
    <w:rsid w:val="00A7356F"/>
    <w:rsid w:val="00B352DE"/>
    <w:rsid w:val="00B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2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2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SCCGOV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Don</dc:creator>
  <cp:lastModifiedBy>Arthur O'Donnell</cp:lastModifiedBy>
  <cp:revision>2</cp:revision>
  <dcterms:created xsi:type="dcterms:W3CDTF">2015-05-18T17:12:00Z</dcterms:created>
  <dcterms:modified xsi:type="dcterms:W3CDTF">2015-05-18T17:12:00Z</dcterms:modified>
</cp:coreProperties>
</file>