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3E36" w14:textId="77777777" w:rsidR="00D80F06" w:rsidRDefault="00885FDA">
      <w:pPr>
        <w:jc w:val="center"/>
        <w:rPr>
          <w:rFonts w:ascii="Arial" w:eastAsia="Arial" w:hAnsi="Arial" w:cs="Arial"/>
          <w:b/>
        </w:rPr>
      </w:pPr>
      <w:bookmarkStart w:id="0" w:name="_GoBack"/>
      <w:bookmarkEnd w:id="0"/>
      <w:r>
        <w:rPr>
          <w:rFonts w:ascii="Arial" w:eastAsia="Arial" w:hAnsi="Arial" w:cs="Arial"/>
          <w:b/>
        </w:rPr>
        <w:t>BEFORE THE PUBLIC UTILITIES COMMISSION</w:t>
      </w:r>
    </w:p>
    <w:p w14:paraId="62766BB1" w14:textId="77777777" w:rsidR="00D80F06" w:rsidRDefault="00885FDA">
      <w:pPr>
        <w:jc w:val="center"/>
        <w:rPr>
          <w:rFonts w:ascii="Arial" w:eastAsia="Arial" w:hAnsi="Arial" w:cs="Arial"/>
          <w:b/>
        </w:rPr>
      </w:pPr>
      <w:r>
        <w:rPr>
          <w:rFonts w:ascii="Arial" w:eastAsia="Arial" w:hAnsi="Arial" w:cs="Arial"/>
          <w:b/>
        </w:rPr>
        <w:t>OF THE STATE OF CALIFORNIA</w:t>
      </w:r>
      <w:r>
        <w:rPr>
          <w:rFonts w:ascii="Arial" w:eastAsia="Arial" w:hAnsi="Arial" w:cs="Arial"/>
          <w:b/>
        </w:rPr>
        <w:br/>
      </w:r>
    </w:p>
    <w:p w14:paraId="740E497A" w14:textId="77777777" w:rsidR="00D80F06" w:rsidRDefault="00D80F06">
      <w:pPr>
        <w:jc w:val="center"/>
        <w:rPr>
          <w:rFonts w:ascii="Arial" w:eastAsia="Arial" w:hAnsi="Arial" w:cs="Arial"/>
          <w:b/>
        </w:rPr>
      </w:pPr>
    </w:p>
    <w:p w14:paraId="6325C7E7" w14:textId="77777777" w:rsidR="00D80F06" w:rsidRDefault="00D80F06">
      <w:pPr>
        <w:rPr>
          <w:rFonts w:ascii="Arial" w:eastAsia="Arial" w:hAnsi="Arial" w:cs="Arial"/>
          <w:b/>
        </w:rPr>
      </w:pPr>
    </w:p>
    <w:tbl>
      <w:tblPr>
        <w:tblStyle w:val="a"/>
        <w:tblW w:w="8730" w:type="dxa"/>
        <w:tblInd w:w="57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040"/>
        <w:gridCol w:w="3690"/>
      </w:tblGrid>
      <w:tr w:rsidR="00D80F06" w14:paraId="6323D7B0" w14:textId="77777777">
        <w:trPr>
          <w:trHeight w:val="1720"/>
        </w:trPr>
        <w:tc>
          <w:tcPr>
            <w:tcW w:w="5040"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3B72C90D" w14:textId="77777777" w:rsidR="00D80F06" w:rsidRDefault="00D80F06">
            <w:pPr>
              <w:spacing w:after="200" w:line="276" w:lineRule="auto"/>
              <w:rPr>
                <w:rFonts w:ascii="Arial" w:eastAsia="Arial" w:hAnsi="Arial" w:cs="Arial"/>
              </w:rPr>
            </w:pPr>
          </w:p>
          <w:p w14:paraId="3D97D349" w14:textId="77777777" w:rsidR="00D80F06" w:rsidRDefault="00885FDA">
            <w:pPr>
              <w:rPr>
                <w:rFonts w:ascii="Calibri" w:eastAsia="Calibri" w:hAnsi="Calibri" w:cs="Calibri"/>
                <w:sz w:val="22"/>
                <w:szCs w:val="22"/>
              </w:rPr>
            </w:pPr>
            <w:r>
              <w:rPr>
                <w:rFonts w:ascii="Arial" w:eastAsia="Arial" w:hAnsi="Arial" w:cs="Arial"/>
              </w:rPr>
              <w:t>Application of Pacific Gas and Electric Company (U39E) for Approval of Demand Response Programs, Pilots and Budgets for Program Years 2018-2022</w:t>
            </w:r>
          </w:p>
        </w:tc>
        <w:tc>
          <w:tcPr>
            <w:tcW w:w="3690" w:type="dxa"/>
            <w:vMerge w:val="restart"/>
            <w:tcBorders>
              <w:top w:val="nil"/>
              <w:left w:val="single" w:sz="4" w:space="0" w:color="000000"/>
              <w:bottom w:val="nil"/>
              <w:right w:val="nil"/>
            </w:tcBorders>
            <w:shd w:val="clear" w:color="auto" w:fill="auto"/>
            <w:tcMar>
              <w:top w:w="80" w:type="dxa"/>
              <w:left w:w="80" w:type="dxa"/>
              <w:bottom w:w="80" w:type="dxa"/>
              <w:right w:w="80" w:type="dxa"/>
            </w:tcMar>
          </w:tcPr>
          <w:p w14:paraId="04917004" w14:textId="77777777" w:rsidR="00D80F06" w:rsidRDefault="00D80F06">
            <w:pPr>
              <w:rPr>
                <w:rFonts w:ascii="Arial" w:eastAsia="Arial" w:hAnsi="Arial" w:cs="Arial"/>
              </w:rPr>
            </w:pPr>
          </w:p>
          <w:p w14:paraId="5A82EA6C" w14:textId="77777777" w:rsidR="00D80F06" w:rsidRDefault="00885FDA">
            <w:pPr>
              <w:rPr>
                <w:rFonts w:ascii="Arial" w:eastAsia="Arial" w:hAnsi="Arial" w:cs="Arial"/>
              </w:rPr>
            </w:pPr>
            <w:r>
              <w:rPr>
                <w:rFonts w:ascii="Arial" w:eastAsia="Arial" w:hAnsi="Arial" w:cs="Arial"/>
              </w:rPr>
              <w:t>Application 17-01-012</w:t>
            </w:r>
          </w:p>
          <w:p w14:paraId="6B680813" w14:textId="77777777" w:rsidR="00D80F06" w:rsidRDefault="00885FDA">
            <w:pPr>
              <w:rPr>
                <w:rFonts w:ascii="Arial" w:eastAsia="Arial" w:hAnsi="Arial" w:cs="Arial"/>
              </w:rPr>
            </w:pPr>
            <w:r>
              <w:rPr>
                <w:rFonts w:ascii="Arial" w:eastAsia="Arial" w:hAnsi="Arial" w:cs="Arial"/>
              </w:rPr>
              <w:t>(Filed January 17, 2017)</w:t>
            </w:r>
          </w:p>
          <w:p w14:paraId="110AAEC0" w14:textId="77777777" w:rsidR="00D80F06" w:rsidRDefault="00D80F06">
            <w:pPr>
              <w:rPr>
                <w:rFonts w:ascii="Arial" w:eastAsia="Arial" w:hAnsi="Arial" w:cs="Arial"/>
              </w:rPr>
            </w:pPr>
          </w:p>
          <w:p w14:paraId="61DEBA50" w14:textId="77777777" w:rsidR="00D80F06" w:rsidRDefault="00D80F06">
            <w:pPr>
              <w:rPr>
                <w:rFonts w:ascii="Arial" w:eastAsia="Arial" w:hAnsi="Arial" w:cs="Arial"/>
              </w:rPr>
            </w:pPr>
          </w:p>
          <w:p w14:paraId="389E829A" w14:textId="77777777" w:rsidR="00D80F06" w:rsidRDefault="00D80F06">
            <w:pPr>
              <w:rPr>
                <w:rFonts w:ascii="Arial" w:eastAsia="Arial" w:hAnsi="Arial" w:cs="Arial"/>
              </w:rPr>
            </w:pPr>
          </w:p>
          <w:p w14:paraId="34052B3B" w14:textId="77777777" w:rsidR="00D80F06" w:rsidRDefault="00D80F06">
            <w:pPr>
              <w:rPr>
                <w:rFonts w:ascii="Arial" w:eastAsia="Arial" w:hAnsi="Arial" w:cs="Arial"/>
              </w:rPr>
            </w:pPr>
          </w:p>
          <w:p w14:paraId="455855BE" w14:textId="77777777" w:rsidR="00D80F06" w:rsidRDefault="00885FDA">
            <w:pPr>
              <w:rPr>
                <w:rFonts w:ascii="Arial" w:eastAsia="Arial" w:hAnsi="Arial" w:cs="Arial"/>
              </w:rPr>
            </w:pPr>
            <w:r>
              <w:rPr>
                <w:rFonts w:ascii="Arial" w:eastAsia="Arial" w:hAnsi="Arial" w:cs="Arial"/>
              </w:rPr>
              <w:t>Application 17-01-018</w:t>
            </w:r>
          </w:p>
          <w:p w14:paraId="68DE35A9" w14:textId="77777777" w:rsidR="00D80F06" w:rsidRDefault="00885FDA">
            <w:pPr>
              <w:rPr>
                <w:rFonts w:ascii="Arial" w:eastAsia="Arial" w:hAnsi="Arial" w:cs="Arial"/>
              </w:rPr>
            </w:pPr>
            <w:r>
              <w:rPr>
                <w:rFonts w:ascii="Arial" w:eastAsia="Arial" w:hAnsi="Arial" w:cs="Arial"/>
              </w:rPr>
              <w:t>(Filed January 17, 2017)</w:t>
            </w:r>
          </w:p>
          <w:p w14:paraId="2FBD73DB" w14:textId="77777777" w:rsidR="00D80F06" w:rsidRDefault="00D80F06">
            <w:pPr>
              <w:rPr>
                <w:rFonts w:ascii="Arial" w:eastAsia="Arial" w:hAnsi="Arial" w:cs="Arial"/>
              </w:rPr>
            </w:pPr>
          </w:p>
          <w:p w14:paraId="12125BC6" w14:textId="77777777" w:rsidR="00D80F06" w:rsidRDefault="00D80F06">
            <w:pPr>
              <w:rPr>
                <w:rFonts w:ascii="Arial" w:eastAsia="Arial" w:hAnsi="Arial" w:cs="Arial"/>
              </w:rPr>
            </w:pPr>
          </w:p>
          <w:p w14:paraId="65576BC8" w14:textId="77777777" w:rsidR="00D80F06" w:rsidRDefault="00D80F06">
            <w:pPr>
              <w:rPr>
                <w:rFonts w:ascii="Arial" w:eastAsia="Arial" w:hAnsi="Arial" w:cs="Arial"/>
              </w:rPr>
            </w:pPr>
          </w:p>
          <w:p w14:paraId="65CEC1FA" w14:textId="77777777" w:rsidR="00D80F06" w:rsidRDefault="00D80F06">
            <w:pPr>
              <w:rPr>
                <w:rFonts w:ascii="Arial" w:eastAsia="Arial" w:hAnsi="Arial" w:cs="Arial"/>
              </w:rPr>
            </w:pPr>
          </w:p>
          <w:p w14:paraId="47F48A5B" w14:textId="77777777" w:rsidR="00D80F06" w:rsidRDefault="00885FDA">
            <w:pPr>
              <w:rPr>
                <w:rFonts w:ascii="Arial" w:eastAsia="Arial" w:hAnsi="Arial" w:cs="Arial"/>
              </w:rPr>
            </w:pPr>
            <w:r>
              <w:rPr>
                <w:rFonts w:ascii="Arial" w:eastAsia="Arial" w:hAnsi="Arial" w:cs="Arial"/>
              </w:rPr>
              <w:t>Application 17-01-019</w:t>
            </w:r>
          </w:p>
          <w:p w14:paraId="0B6CAC8A" w14:textId="77777777" w:rsidR="00D80F06" w:rsidRDefault="00885FDA">
            <w:pPr>
              <w:rPr>
                <w:rFonts w:ascii="Calibri" w:eastAsia="Calibri" w:hAnsi="Calibri" w:cs="Calibri"/>
                <w:sz w:val="22"/>
                <w:szCs w:val="22"/>
              </w:rPr>
            </w:pPr>
            <w:r>
              <w:rPr>
                <w:rFonts w:ascii="Arial" w:eastAsia="Arial" w:hAnsi="Arial" w:cs="Arial"/>
              </w:rPr>
              <w:t>(Filed January 17, 2017)</w:t>
            </w:r>
          </w:p>
        </w:tc>
      </w:tr>
      <w:tr w:rsidR="00D80F06" w14:paraId="14A948A7" w14:textId="77777777">
        <w:trPr>
          <w:trHeight w:val="1400"/>
        </w:trPr>
        <w:tc>
          <w:tcPr>
            <w:tcW w:w="5040"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7116658F" w14:textId="77777777" w:rsidR="00D80F06" w:rsidRDefault="00D80F06">
            <w:pPr>
              <w:rPr>
                <w:rFonts w:ascii="Arial" w:eastAsia="Arial" w:hAnsi="Arial" w:cs="Arial"/>
              </w:rPr>
            </w:pPr>
          </w:p>
          <w:p w14:paraId="03430B00" w14:textId="77777777" w:rsidR="00D80F06" w:rsidRDefault="00885FDA">
            <w:pPr>
              <w:rPr>
                <w:rFonts w:ascii="Calibri" w:eastAsia="Calibri" w:hAnsi="Calibri" w:cs="Calibri"/>
                <w:sz w:val="22"/>
                <w:szCs w:val="22"/>
              </w:rPr>
            </w:pPr>
            <w:r>
              <w:rPr>
                <w:rFonts w:ascii="Arial" w:eastAsia="Arial" w:hAnsi="Arial" w:cs="Arial"/>
              </w:rPr>
              <w:t>Application of Southern California Edison Company (U338E) for Approval of its 2018-2022 Demand Response Programs.</w:t>
            </w:r>
          </w:p>
        </w:tc>
        <w:tc>
          <w:tcPr>
            <w:tcW w:w="3690" w:type="dxa"/>
            <w:vMerge/>
            <w:tcBorders>
              <w:top w:val="nil"/>
              <w:left w:val="single" w:sz="4" w:space="0" w:color="000000"/>
              <w:bottom w:val="nil"/>
              <w:right w:val="nil"/>
            </w:tcBorders>
            <w:shd w:val="clear" w:color="auto" w:fill="auto"/>
            <w:tcMar>
              <w:top w:w="80" w:type="dxa"/>
              <w:left w:w="80" w:type="dxa"/>
              <w:bottom w:w="80" w:type="dxa"/>
              <w:right w:w="80" w:type="dxa"/>
            </w:tcMar>
          </w:tcPr>
          <w:p w14:paraId="3E09AFC7" w14:textId="77777777" w:rsidR="00D80F06" w:rsidRDefault="00D80F06"/>
        </w:tc>
      </w:tr>
      <w:tr w:rsidR="00D80F06" w14:paraId="7A768DB7" w14:textId="77777777">
        <w:trPr>
          <w:trHeight w:val="1960"/>
        </w:trPr>
        <w:tc>
          <w:tcPr>
            <w:tcW w:w="5040"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3D54F39A" w14:textId="77777777" w:rsidR="00D80F06" w:rsidRDefault="00D80F06">
            <w:pPr>
              <w:rPr>
                <w:rFonts w:ascii="Arial" w:eastAsia="Arial" w:hAnsi="Arial" w:cs="Arial"/>
              </w:rPr>
            </w:pPr>
          </w:p>
          <w:p w14:paraId="7F1238FA" w14:textId="77777777" w:rsidR="00D80F06" w:rsidRDefault="00885FDA">
            <w:pPr>
              <w:rPr>
                <w:rFonts w:ascii="Calibri" w:eastAsia="Calibri" w:hAnsi="Calibri" w:cs="Calibri"/>
                <w:sz w:val="22"/>
                <w:szCs w:val="22"/>
              </w:rPr>
            </w:pPr>
            <w:r>
              <w:rPr>
                <w:rFonts w:ascii="Arial" w:eastAsia="Arial" w:hAnsi="Arial" w:cs="Arial"/>
              </w:rPr>
              <w:t>Application of San Diego Gas &amp; Electric Company (U902E) Requesting Approval and Funding for 2018-2022 Demand Response Portfolio in compliance with Decision 16-09-056</w:t>
            </w:r>
          </w:p>
        </w:tc>
        <w:tc>
          <w:tcPr>
            <w:tcW w:w="3690" w:type="dxa"/>
            <w:vMerge/>
            <w:tcBorders>
              <w:top w:val="nil"/>
              <w:left w:val="single" w:sz="4" w:space="0" w:color="000000"/>
              <w:bottom w:val="nil"/>
              <w:right w:val="nil"/>
            </w:tcBorders>
            <w:shd w:val="clear" w:color="auto" w:fill="auto"/>
            <w:tcMar>
              <w:top w:w="80" w:type="dxa"/>
              <w:left w:w="80" w:type="dxa"/>
              <w:bottom w:w="80" w:type="dxa"/>
              <w:right w:w="80" w:type="dxa"/>
            </w:tcMar>
          </w:tcPr>
          <w:p w14:paraId="7920CD72" w14:textId="77777777" w:rsidR="00D80F06" w:rsidRDefault="00D80F06"/>
        </w:tc>
      </w:tr>
    </w:tbl>
    <w:p w14:paraId="312796B3" w14:textId="77777777" w:rsidR="00D80F06" w:rsidRDefault="00D80F06">
      <w:pPr>
        <w:widowControl w:val="0"/>
        <w:ind w:left="468" w:hanging="468"/>
        <w:rPr>
          <w:rFonts w:ascii="Arial" w:eastAsia="Arial" w:hAnsi="Arial" w:cs="Arial"/>
          <w:b/>
        </w:rPr>
      </w:pPr>
    </w:p>
    <w:p w14:paraId="56CD162F" w14:textId="77777777" w:rsidR="00D80F06" w:rsidRDefault="00D80F06">
      <w:pPr>
        <w:rPr>
          <w:rFonts w:ascii="Arial" w:eastAsia="Arial" w:hAnsi="Arial" w:cs="Arial"/>
          <w:b/>
        </w:rPr>
      </w:pPr>
    </w:p>
    <w:p w14:paraId="14D8FC04" w14:textId="77777777" w:rsidR="00D80F06" w:rsidRDefault="00D80F06">
      <w:pPr>
        <w:rPr>
          <w:rFonts w:ascii="Arial" w:eastAsia="Arial" w:hAnsi="Arial" w:cs="Arial"/>
          <w:b/>
        </w:rPr>
      </w:pPr>
    </w:p>
    <w:p w14:paraId="6348F15B" w14:textId="77777777" w:rsidR="00D80F06" w:rsidRDefault="00D80F06">
      <w:pPr>
        <w:rPr>
          <w:rFonts w:ascii="Arial" w:eastAsia="Arial" w:hAnsi="Arial" w:cs="Arial"/>
          <w:b/>
        </w:rPr>
      </w:pPr>
    </w:p>
    <w:p w14:paraId="006009FA" w14:textId="77777777" w:rsidR="00D80F06" w:rsidRDefault="00885FDA">
      <w:pPr>
        <w:jc w:val="center"/>
        <w:rPr>
          <w:rFonts w:ascii="Arial" w:eastAsia="Arial" w:hAnsi="Arial" w:cs="Arial"/>
          <w:b/>
        </w:rPr>
      </w:pPr>
      <w:proofErr w:type="gramStart"/>
      <w:r>
        <w:rPr>
          <w:rFonts w:ascii="Arial" w:eastAsia="Arial" w:hAnsi="Arial" w:cs="Arial"/>
          <w:b/>
        </w:rPr>
        <w:t>INFORMAL COMMENTS OF OLIVINE, INC.</w:t>
      </w:r>
      <w:proofErr w:type="gramEnd"/>
      <w:r>
        <w:rPr>
          <w:rFonts w:ascii="Arial" w:eastAsia="Arial" w:hAnsi="Arial" w:cs="Arial"/>
          <w:b/>
        </w:rPr>
        <w:t xml:space="preserve"> </w:t>
      </w:r>
    </w:p>
    <w:p w14:paraId="7F6B6E18" w14:textId="77777777" w:rsidR="00D80F06" w:rsidRDefault="00885FDA">
      <w:pPr>
        <w:jc w:val="center"/>
        <w:rPr>
          <w:rFonts w:ascii="Arial" w:eastAsia="Arial" w:hAnsi="Arial" w:cs="Arial"/>
          <w:b/>
        </w:rPr>
      </w:pPr>
      <w:r>
        <w:rPr>
          <w:rFonts w:ascii="Arial" w:eastAsia="Arial" w:hAnsi="Arial" w:cs="Arial"/>
          <w:b/>
        </w:rPr>
        <w:t>ON DEMAND RESPONSE PILOTS FOR DISADVANTAGED COMMUNITIES</w:t>
      </w:r>
    </w:p>
    <w:p w14:paraId="576B8A5A" w14:textId="77777777" w:rsidR="00D80F06" w:rsidRDefault="00D80F06">
      <w:pPr>
        <w:jc w:val="center"/>
        <w:rPr>
          <w:rFonts w:ascii="Arial" w:eastAsia="Arial" w:hAnsi="Arial" w:cs="Arial"/>
          <w:b/>
        </w:rPr>
      </w:pPr>
    </w:p>
    <w:p w14:paraId="53A77BAE" w14:textId="77777777" w:rsidR="00D80F06" w:rsidRDefault="00885FDA">
      <w:pPr>
        <w:jc w:val="center"/>
        <w:rPr>
          <w:rFonts w:ascii="Arial" w:eastAsia="Arial" w:hAnsi="Arial" w:cs="Arial"/>
        </w:rPr>
      </w:pPr>
      <w:r>
        <w:rPr>
          <w:rFonts w:ascii="Arial" w:eastAsia="Arial" w:hAnsi="Arial" w:cs="Arial"/>
          <w:b/>
        </w:rPr>
        <w:t xml:space="preserve"> </w:t>
      </w:r>
    </w:p>
    <w:tbl>
      <w:tblPr>
        <w:tblStyle w:val="a0"/>
        <w:tblW w:w="991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4518"/>
        <w:gridCol w:w="5400"/>
      </w:tblGrid>
      <w:tr w:rsidR="00D80F06" w14:paraId="0C0A4CFE" w14:textId="77777777">
        <w:trPr>
          <w:trHeight w:val="3640"/>
          <w:jc w:val="center"/>
        </w:trPr>
        <w:tc>
          <w:tcPr>
            <w:tcW w:w="4518" w:type="dxa"/>
            <w:tcBorders>
              <w:top w:val="nil"/>
              <w:left w:val="nil"/>
              <w:bottom w:val="nil"/>
              <w:right w:val="nil"/>
            </w:tcBorders>
            <w:shd w:val="clear" w:color="auto" w:fill="auto"/>
            <w:tcMar>
              <w:top w:w="80" w:type="dxa"/>
              <w:left w:w="80" w:type="dxa"/>
              <w:bottom w:w="80" w:type="dxa"/>
              <w:right w:w="80" w:type="dxa"/>
            </w:tcMar>
          </w:tcPr>
          <w:p w14:paraId="5B40AC02" w14:textId="77777777" w:rsidR="00D80F06" w:rsidRDefault="00885FDA">
            <w:pPr>
              <w:spacing w:after="200" w:line="276" w:lineRule="auto"/>
              <w:rPr>
                <w:rFonts w:ascii="Arial" w:eastAsia="Arial" w:hAnsi="Arial" w:cs="Arial"/>
              </w:rPr>
            </w:pPr>
            <w:r>
              <w:rPr>
                <w:rFonts w:ascii="Arial" w:eastAsia="Arial" w:hAnsi="Arial" w:cs="Arial"/>
              </w:rPr>
              <w:lastRenderedPageBreak/>
              <w:t>Nora Sheriff</w:t>
            </w:r>
          </w:p>
          <w:p w14:paraId="5B13B4D9" w14:textId="77777777" w:rsidR="00D80F06" w:rsidRDefault="00885FDA">
            <w:pPr>
              <w:rPr>
                <w:rFonts w:ascii="Arial" w:eastAsia="Arial" w:hAnsi="Arial" w:cs="Arial"/>
              </w:rPr>
            </w:pPr>
            <w:proofErr w:type="spellStart"/>
            <w:r>
              <w:rPr>
                <w:rFonts w:ascii="Arial" w:eastAsia="Arial" w:hAnsi="Arial" w:cs="Arial"/>
              </w:rPr>
              <w:t>Alcantar</w:t>
            </w:r>
            <w:proofErr w:type="spellEnd"/>
            <w:r>
              <w:rPr>
                <w:rFonts w:ascii="Arial" w:eastAsia="Arial" w:hAnsi="Arial" w:cs="Arial"/>
              </w:rPr>
              <w:t xml:space="preserve"> &amp; </w:t>
            </w:r>
            <w:proofErr w:type="spellStart"/>
            <w:r>
              <w:rPr>
                <w:rFonts w:ascii="Arial" w:eastAsia="Arial" w:hAnsi="Arial" w:cs="Arial"/>
              </w:rPr>
              <w:t>Kahl</w:t>
            </w:r>
            <w:proofErr w:type="spellEnd"/>
            <w:r>
              <w:rPr>
                <w:rFonts w:ascii="Arial" w:eastAsia="Arial" w:hAnsi="Arial" w:cs="Arial"/>
              </w:rPr>
              <w:t xml:space="preserve"> LLP</w:t>
            </w:r>
          </w:p>
          <w:p w14:paraId="1E0DC6CB" w14:textId="77777777" w:rsidR="00D80F06" w:rsidRDefault="00885FDA">
            <w:pPr>
              <w:rPr>
                <w:rFonts w:ascii="Arial" w:eastAsia="Arial" w:hAnsi="Arial" w:cs="Arial"/>
              </w:rPr>
            </w:pPr>
            <w:r>
              <w:rPr>
                <w:rFonts w:ascii="Arial" w:eastAsia="Arial" w:hAnsi="Arial" w:cs="Arial"/>
              </w:rPr>
              <w:t>345 California Street</w:t>
            </w:r>
          </w:p>
          <w:p w14:paraId="11902B0C" w14:textId="77777777" w:rsidR="00D80F06" w:rsidRDefault="00885FDA">
            <w:pPr>
              <w:rPr>
                <w:rFonts w:ascii="Arial" w:eastAsia="Arial" w:hAnsi="Arial" w:cs="Arial"/>
              </w:rPr>
            </w:pPr>
            <w:r>
              <w:rPr>
                <w:rFonts w:ascii="Arial" w:eastAsia="Arial" w:hAnsi="Arial" w:cs="Arial"/>
              </w:rPr>
              <w:t>Suite 2450</w:t>
            </w:r>
          </w:p>
          <w:p w14:paraId="62D021E8" w14:textId="77777777" w:rsidR="00D80F06" w:rsidRDefault="00885FDA">
            <w:pPr>
              <w:rPr>
                <w:rFonts w:ascii="Arial" w:eastAsia="Arial" w:hAnsi="Arial" w:cs="Arial"/>
              </w:rPr>
            </w:pPr>
            <w:r>
              <w:rPr>
                <w:rFonts w:ascii="Arial" w:eastAsia="Arial" w:hAnsi="Arial" w:cs="Arial"/>
              </w:rPr>
              <w:t>San Francisco, CA  94104</w:t>
            </w:r>
          </w:p>
          <w:p w14:paraId="65B1A41C" w14:textId="77777777" w:rsidR="00D80F06" w:rsidRDefault="00885FDA">
            <w:pPr>
              <w:rPr>
                <w:rFonts w:ascii="Arial" w:eastAsia="Arial" w:hAnsi="Arial" w:cs="Arial"/>
              </w:rPr>
            </w:pPr>
            <w:r>
              <w:rPr>
                <w:rFonts w:ascii="Arial" w:eastAsia="Arial" w:hAnsi="Arial" w:cs="Arial"/>
              </w:rPr>
              <w:t>415.421.4143 office</w:t>
            </w:r>
          </w:p>
          <w:p w14:paraId="6AF1B66A" w14:textId="77777777" w:rsidR="00D80F06" w:rsidRDefault="009E53B1">
            <w:pPr>
              <w:rPr>
                <w:rFonts w:ascii="Arial" w:eastAsia="Arial" w:hAnsi="Arial" w:cs="Arial"/>
              </w:rPr>
            </w:pPr>
            <w:hyperlink r:id="rId8">
              <w:r w:rsidR="00885FDA">
                <w:rPr>
                  <w:rFonts w:ascii="Arial" w:eastAsia="Arial" w:hAnsi="Arial" w:cs="Arial"/>
                  <w:color w:val="0000FF"/>
                  <w:u w:val="single"/>
                </w:rPr>
                <w:t>nes@a-klaw.com</w:t>
              </w:r>
            </w:hyperlink>
          </w:p>
          <w:p w14:paraId="55EFDE18" w14:textId="77777777" w:rsidR="00D80F06" w:rsidRDefault="00D80F06">
            <w:pPr>
              <w:rPr>
                <w:rFonts w:ascii="Arial" w:eastAsia="Arial" w:hAnsi="Arial" w:cs="Arial"/>
              </w:rPr>
            </w:pPr>
          </w:p>
          <w:p w14:paraId="6E28139C" w14:textId="77777777" w:rsidR="00D80F06" w:rsidRDefault="00D80F06">
            <w:pPr>
              <w:rPr>
                <w:rFonts w:ascii="Arial" w:eastAsia="Arial" w:hAnsi="Arial" w:cs="Arial"/>
              </w:rPr>
            </w:pPr>
          </w:p>
          <w:p w14:paraId="12854029" w14:textId="77777777" w:rsidR="00D80F06" w:rsidRDefault="00885FDA">
            <w:pPr>
              <w:rPr>
                <w:rFonts w:ascii="Arial" w:eastAsia="Arial" w:hAnsi="Arial" w:cs="Arial"/>
              </w:rPr>
            </w:pPr>
            <w:r>
              <w:rPr>
                <w:rFonts w:ascii="Arial" w:eastAsia="Arial" w:hAnsi="Arial" w:cs="Arial"/>
              </w:rPr>
              <w:t>Counsel to Olivine, Inc.</w:t>
            </w:r>
          </w:p>
          <w:p w14:paraId="1CFB1B5F" w14:textId="77777777" w:rsidR="00D80F06" w:rsidRDefault="00D80F06">
            <w:pPr>
              <w:rPr>
                <w:rFonts w:ascii="Calibri" w:eastAsia="Calibri" w:hAnsi="Calibri" w:cs="Calibri"/>
                <w:sz w:val="22"/>
                <w:szCs w:val="22"/>
              </w:rPr>
            </w:pPr>
          </w:p>
        </w:tc>
        <w:tc>
          <w:tcPr>
            <w:tcW w:w="5400" w:type="dxa"/>
            <w:tcBorders>
              <w:top w:val="nil"/>
              <w:left w:val="nil"/>
              <w:bottom w:val="nil"/>
              <w:right w:val="nil"/>
            </w:tcBorders>
            <w:shd w:val="clear" w:color="auto" w:fill="auto"/>
            <w:tcMar>
              <w:top w:w="80" w:type="dxa"/>
              <w:left w:w="80" w:type="dxa"/>
              <w:bottom w:w="80" w:type="dxa"/>
              <w:right w:w="80" w:type="dxa"/>
            </w:tcMar>
          </w:tcPr>
          <w:p w14:paraId="6855C102" w14:textId="77777777" w:rsidR="00D80F06" w:rsidRDefault="00885FDA">
            <w:pPr>
              <w:rPr>
                <w:rFonts w:ascii="Arial" w:eastAsia="Arial" w:hAnsi="Arial" w:cs="Arial"/>
              </w:rPr>
            </w:pPr>
            <w:r>
              <w:rPr>
                <w:rFonts w:ascii="Arial" w:eastAsia="Arial" w:hAnsi="Arial" w:cs="Arial"/>
              </w:rPr>
              <w:t xml:space="preserve">Beth Reid, </w:t>
            </w:r>
          </w:p>
          <w:p w14:paraId="3CDA5E17" w14:textId="182CFF43" w:rsidR="00D80F06" w:rsidRDefault="00885FDA">
            <w:pPr>
              <w:rPr>
                <w:rFonts w:ascii="Arial" w:eastAsia="Arial" w:hAnsi="Arial" w:cs="Arial"/>
              </w:rPr>
            </w:pPr>
            <w:r>
              <w:rPr>
                <w:rFonts w:ascii="Arial" w:eastAsia="Arial" w:hAnsi="Arial" w:cs="Arial"/>
              </w:rPr>
              <w:t>Chief Executive Officer</w:t>
            </w:r>
          </w:p>
          <w:p w14:paraId="11497BCB" w14:textId="0939112C" w:rsidR="00273135" w:rsidRDefault="00273135">
            <w:pPr>
              <w:rPr>
                <w:rFonts w:ascii="Arial" w:eastAsia="Arial" w:hAnsi="Arial" w:cs="Arial"/>
              </w:rPr>
            </w:pPr>
            <w:r>
              <w:rPr>
                <w:rFonts w:ascii="Arial" w:eastAsia="Arial" w:hAnsi="Arial" w:cs="Arial"/>
              </w:rPr>
              <w:t>breid@olivineinc.com</w:t>
            </w:r>
          </w:p>
          <w:p w14:paraId="280A7137" w14:textId="77777777" w:rsidR="00273135" w:rsidRDefault="00273135">
            <w:pPr>
              <w:rPr>
                <w:rFonts w:ascii="Arial" w:eastAsia="Arial" w:hAnsi="Arial" w:cs="Arial"/>
              </w:rPr>
            </w:pPr>
          </w:p>
          <w:p w14:paraId="20587592" w14:textId="6847DD87" w:rsidR="00D80F06" w:rsidRDefault="00885FDA">
            <w:pPr>
              <w:rPr>
                <w:rFonts w:ascii="Arial" w:eastAsia="Arial" w:hAnsi="Arial" w:cs="Arial"/>
              </w:rPr>
            </w:pPr>
            <w:r>
              <w:rPr>
                <w:rFonts w:ascii="Arial" w:eastAsia="Arial" w:hAnsi="Arial" w:cs="Arial"/>
              </w:rPr>
              <w:t xml:space="preserve">Laura </w:t>
            </w:r>
            <w:proofErr w:type="spellStart"/>
            <w:r>
              <w:rPr>
                <w:rFonts w:ascii="Arial" w:eastAsia="Arial" w:hAnsi="Arial" w:cs="Arial"/>
              </w:rPr>
              <w:t>Mameesh</w:t>
            </w:r>
            <w:proofErr w:type="spellEnd"/>
            <w:r>
              <w:rPr>
                <w:rFonts w:ascii="Arial" w:eastAsia="Arial" w:hAnsi="Arial" w:cs="Arial"/>
              </w:rPr>
              <w:t xml:space="preserve"> </w:t>
            </w:r>
          </w:p>
          <w:p w14:paraId="7CA31403" w14:textId="77777777" w:rsidR="00D80F06" w:rsidRDefault="00885FDA">
            <w:pPr>
              <w:rPr>
                <w:rFonts w:ascii="Arial" w:eastAsia="Arial" w:hAnsi="Arial" w:cs="Arial"/>
              </w:rPr>
            </w:pPr>
            <w:r>
              <w:rPr>
                <w:rFonts w:ascii="Arial" w:eastAsia="Arial" w:hAnsi="Arial" w:cs="Arial"/>
              </w:rPr>
              <w:t>Policy Advisor, Disadvantaged Communities</w:t>
            </w:r>
          </w:p>
          <w:p w14:paraId="680E73C8" w14:textId="77777777" w:rsidR="00273135" w:rsidRDefault="00273135">
            <w:pPr>
              <w:rPr>
                <w:rFonts w:ascii="Arial" w:eastAsia="Arial" w:hAnsi="Arial" w:cs="Arial"/>
              </w:rPr>
            </w:pPr>
          </w:p>
          <w:p w14:paraId="1743BD37" w14:textId="7483317D" w:rsidR="00D80F06" w:rsidRDefault="00885FDA">
            <w:pPr>
              <w:rPr>
                <w:rFonts w:ascii="Arial" w:eastAsia="Arial" w:hAnsi="Arial" w:cs="Arial"/>
              </w:rPr>
            </w:pPr>
            <w:r>
              <w:rPr>
                <w:rFonts w:ascii="Arial" w:eastAsia="Arial" w:hAnsi="Arial" w:cs="Arial"/>
              </w:rPr>
              <w:t xml:space="preserve">Olivine, Inc. </w:t>
            </w:r>
          </w:p>
          <w:p w14:paraId="1CBE9FDB" w14:textId="77777777" w:rsidR="00D80F06" w:rsidRDefault="00885FDA">
            <w:pPr>
              <w:rPr>
                <w:rFonts w:ascii="Arial" w:eastAsia="Arial" w:hAnsi="Arial" w:cs="Arial"/>
              </w:rPr>
            </w:pPr>
            <w:r>
              <w:rPr>
                <w:rFonts w:ascii="Arial" w:eastAsia="Arial" w:hAnsi="Arial" w:cs="Arial"/>
              </w:rPr>
              <w:t>2120 University Avenue</w:t>
            </w:r>
          </w:p>
          <w:p w14:paraId="26720DC9" w14:textId="37559546" w:rsidR="00D80F06" w:rsidRDefault="00885FDA">
            <w:pPr>
              <w:rPr>
                <w:rFonts w:ascii="Arial" w:eastAsia="Arial" w:hAnsi="Arial" w:cs="Arial"/>
              </w:rPr>
            </w:pPr>
            <w:r>
              <w:rPr>
                <w:rFonts w:ascii="Arial" w:eastAsia="Arial" w:hAnsi="Arial" w:cs="Arial"/>
              </w:rPr>
              <w:t xml:space="preserve">Berkeley, CA 94704 </w:t>
            </w:r>
          </w:p>
          <w:p w14:paraId="656F9F59" w14:textId="77777777" w:rsidR="008638B7" w:rsidRDefault="00273135">
            <w:pPr>
              <w:rPr>
                <w:rFonts w:ascii="Arial" w:eastAsia="Arial" w:hAnsi="Arial" w:cs="Arial"/>
              </w:rPr>
            </w:pPr>
            <w:r>
              <w:rPr>
                <w:rFonts w:ascii="Arial" w:eastAsia="Arial" w:hAnsi="Arial" w:cs="Arial"/>
              </w:rPr>
              <w:t>510.332.255</w:t>
            </w:r>
            <w:r w:rsidR="008638B7">
              <w:rPr>
                <w:rFonts w:ascii="Arial" w:eastAsia="Arial" w:hAnsi="Arial" w:cs="Arial"/>
              </w:rPr>
              <w:t>8</w:t>
            </w:r>
          </w:p>
          <w:p w14:paraId="0087B097" w14:textId="734CEC95" w:rsidR="00D80F06" w:rsidRDefault="008638B7">
            <w:pPr>
              <w:rPr>
                <w:rFonts w:ascii="Arial" w:eastAsia="Arial" w:hAnsi="Arial" w:cs="Arial"/>
              </w:rPr>
            </w:pPr>
            <w:r>
              <w:rPr>
                <w:rFonts w:ascii="Arial" w:eastAsia="Arial" w:hAnsi="Arial" w:cs="Arial"/>
                <w:color w:val="0000FF"/>
                <w:u w:val="single"/>
              </w:rPr>
              <w:t>l</w:t>
            </w:r>
            <w:r w:rsidR="00885FDA">
              <w:rPr>
                <w:rFonts w:ascii="Arial" w:eastAsia="Arial" w:hAnsi="Arial" w:cs="Arial"/>
                <w:color w:val="0000FF"/>
                <w:u w:val="single"/>
              </w:rPr>
              <w:t>mameesh@olivinein</w:t>
            </w:r>
            <w:r>
              <w:rPr>
                <w:rFonts w:ascii="Arial" w:eastAsia="Arial" w:hAnsi="Arial" w:cs="Arial"/>
                <w:color w:val="0000FF"/>
                <w:u w:val="single"/>
              </w:rPr>
              <w:t>c.com</w:t>
            </w:r>
          </w:p>
          <w:p w14:paraId="708E38CA" w14:textId="77777777" w:rsidR="00D80F06" w:rsidRDefault="00D80F06">
            <w:pPr>
              <w:rPr>
                <w:rFonts w:ascii="Arial" w:eastAsia="Arial" w:hAnsi="Arial" w:cs="Arial"/>
              </w:rPr>
            </w:pPr>
          </w:p>
          <w:p w14:paraId="1B259678" w14:textId="77777777" w:rsidR="00D80F06" w:rsidRDefault="00885FDA">
            <w:pPr>
              <w:rPr>
                <w:rFonts w:ascii="Calibri" w:eastAsia="Calibri" w:hAnsi="Calibri" w:cs="Calibri"/>
                <w:sz w:val="22"/>
                <w:szCs w:val="22"/>
              </w:rPr>
            </w:pPr>
            <w:r>
              <w:rPr>
                <w:rFonts w:ascii="Arial" w:eastAsia="Arial" w:hAnsi="Arial" w:cs="Arial"/>
              </w:rPr>
              <w:t xml:space="preserve"> </w:t>
            </w:r>
          </w:p>
        </w:tc>
      </w:tr>
    </w:tbl>
    <w:p w14:paraId="0238661F" w14:textId="77777777" w:rsidR="00D80F06" w:rsidRDefault="00D80F06">
      <w:pPr>
        <w:widowControl w:val="0"/>
        <w:jc w:val="center"/>
        <w:rPr>
          <w:rFonts w:ascii="Arial" w:eastAsia="Arial" w:hAnsi="Arial" w:cs="Arial"/>
        </w:rPr>
      </w:pPr>
    </w:p>
    <w:p w14:paraId="48B26F6E" w14:textId="77777777" w:rsidR="00D80F06" w:rsidRDefault="00885FDA">
      <w:pPr>
        <w:spacing w:after="200" w:line="276" w:lineRule="auto"/>
        <w:rPr>
          <w:rFonts w:ascii="Arial" w:eastAsia="Arial" w:hAnsi="Arial" w:cs="Arial"/>
        </w:rPr>
      </w:pPr>
      <w:r>
        <w:rPr>
          <w:rFonts w:ascii="Arial" w:eastAsia="Arial" w:hAnsi="Arial" w:cs="Arial"/>
        </w:rPr>
        <w:t xml:space="preserve">March 5, 2018 </w:t>
      </w:r>
    </w:p>
    <w:p w14:paraId="0069A356" w14:textId="77777777" w:rsidR="00D80F06" w:rsidRDefault="00D80F06">
      <w:pPr>
        <w:spacing w:after="200" w:line="276" w:lineRule="auto"/>
        <w:rPr>
          <w:rFonts w:ascii="Calibri" w:eastAsia="Calibri" w:hAnsi="Calibri" w:cs="Calibri"/>
          <w:sz w:val="22"/>
          <w:szCs w:val="22"/>
        </w:rPr>
      </w:pPr>
    </w:p>
    <w:p w14:paraId="6FABD296" w14:textId="77777777" w:rsidR="00D80F06" w:rsidRDefault="00885FDA">
      <w:pPr>
        <w:widowControl w:val="0"/>
        <w:spacing w:line="276" w:lineRule="auto"/>
        <w:rPr>
          <w:rFonts w:ascii="Calibri" w:eastAsia="Calibri" w:hAnsi="Calibri" w:cs="Calibri"/>
          <w:sz w:val="22"/>
          <w:szCs w:val="22"/>
        </w:rPr>
        <w:sectPr w:rsidR="00D80F06">
          <w:headerReference w:type="default" r:id="rId9"/>
          <w:footerReference w:type="default" r:id="rId10"/>
          <w:pgSz w:w="12240" w:h="15840"/>
          <w:pgMar w:top="1440" w:right="1440" w:bottom="1440" w:left="1440" w:header="720" w:footer="720" w:gutter="0"/>
          <w:pgNumType w:start="1"/>
          <w:cols w:space="720"/>
        </w:sectPr>
      </w:pPr>
      <w:r>
        <w:br w:type="page"/>
      </w:r>
    </w:p>
    <w:p w14:paraId="2DBAB51D" w14:textId="77777777" w:rsidR="00D80F06" w:rsidRDefault="00885FDA">
      <w:pPr>
        <w:jc w:val="center"/>
        <w:rPr>
          <w:rFonts w:ascii="Arial" w:eastAsia="Arial" w:hAnsi="Arial" w:cs="Arial"/>
          <w:b/>
        </w:rPr>
      </w:pPr>
      <w:r>
        <w:rPr>
          <w:rFonts w:ascii="Arial" w:eastAsia="Arial" w:hAnsi="Arial" w:cs="Arial"/>
          <w:b/>
        </w:rPr>
        <w:lastRenderedPageBreak/>
        <w:t>BEFORE THE PUBLIC UTILITIES COMMISSION</w:t>
      </w:r>
    </w:p>
    <w:p w14:paraId="6EC2DBB2" w14:textId="77777777" w:rsidR="00D80F06" w:rsidRDefault="00885FDA">
      <w:pPr>
        <w:jc w:val="center"/>
        <w:rPr>
          <w:rFonts w:ascii="Arial" w:eastAsia="Arial" w:hAnsi="Arial" w:cs="Arial"/>
          <w:b/>
        </w:rPr>
      </w:pPr>
      <w:r>
        <w:rPr>
          <w:rFonts w:ascii="Arial" w:eastAsia="Arial" w:hAnsi="Arial" w:cs="Arial"/>
          <w:b/>
        </w:rPr>
        <w:t>OF THE STATE OF CALIFORNIA</w:t>
      </w:r>
    </w:p>
    <w:p w14:paraId="4473246A" w14:textId="77777777" w:rsidR="00D80F06" w:rsidRDefault="00D80F06">
      <w:pPr>
        <w:jc w:val="center"/>
        <w:rPr>
          <w:rFonts w:ascii="Arial" w:eastAsia="Arial" w:hAnsi="Arial" w:cs="Arial"/>
          <w:b/>
        </w:rPr>
      </w:pPr>
    </w:p>
    <w:p w14:paraId="1048CDF4" w14:textId="77777777" w:rsidR="00D80F06" w:rsidRDefault="00D80F06">
      <w:pPr>
        <w:jc w:val="center"/>
        <w:rPr>
          <w:rFonts w:ascii="Arial" w:eastAsia="Arial" w:hAnsi="Arial" w:cs="Arial"/>
        </w:rPr>
      </w:pPr>
    </w:p>
    <w:tbl>
      <w:tblPr>
        <w:tblStyle w:val="a1"/>
        <w:tblW w:w="873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040"/>
        <w:gridCol w:w="3690"/>
      </w:tblGrid>
      <w:tr w:rsidR="00D80F06" w14:paraId="268CE238" w14:textId="77777777">
        <w:trPr>
          <w:trHeight w:val="1720"/>
          <w:jc w:val="center"/>
        </w:trPr>
        <w:tc>
          <w:tcPr>
            <w:tcW w:w="5040"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5411BC24" w14:textId="77777777" w:rsidR="00D80F06" w:rsidRDefault="00D80F06">
            <w:pPr>
              <w:spacing w:after="200" w:line="276" w:lineRule="auto"/>
              <w:rPr>
                <w:rFonts w:ascii="Arial" w:eastAsia="Arial" w:hAnsi="Arial" w:cs="Arial"/>
              </w:rPr>
            </w:pPr>
          </w:p>
          <w:p w14:paraId="476B9B40" w14:textId="77777777" w:rsidR="00D80F06" w:rsidRDefault="00885FDA">
            <w:pPr>
              <w:rPr>
                <w:rFonts w:ascii="Calibri" w:eastAsia="Calibri" w:hAnsi="Calibri" w:cs="Calibri"/>
                <w:sz w:val="22"/>
                <w:szCs w:val="22"/>
              </w:rPr>
            </w:pPr>
            <w:r>
              <w:rPr>
                <w:rFonts w:ascii="Arial" w:eastAsia="Arial" w:hAnsi="Arial" w:cs="Arial"/>
              </w:rPr>
              <w:t>Application of Pacific Gas and Electric Company (U39E) for Approval of Demand Response Programs, Pilots and Budgets for Program Years 2018-2022</w:t>
            </w:r>
          </w:p>
        </w:tc>
        <w:tc>
          <w:tcPr>
            <w:tcW w:w="3690" w:type="dxa"/>
            <w:vMerge w:val="restart"/>
            <w:tcBorders>
              <w:top w:val="nil"/>
              <w:left w:val="single" w:sz="4" w:space="0" w:color="000000"/>
              <w:bottom w:val="nil"/>
              <w:right w:val="nil"/>
            </w:tcBorders>
            <w:shd w:val="clear" w:color="auto" w:fill="auto"/>
            <w:tcMar>
              <w:top w:w="80" w:type="dxa"/>
              <w:left w:w="80" w:type="dxa"/>
              <w:bottom w:w="80" w:type="dxa"/>
              <w:right w:w="80" w:type="dxa"/>
            </w:tcMar>
          </w:tcPr>
          <w:p w14:paraId="062FCEDB" w14:textId="77777777" w:rsidR="00D80F06" w:rsidRDefault="00D80F06">
            <w:pPr>
              <w:rPr>
                <w:rFonts w:ascii="Arial" w:eastAsia="Arial" w:hAnsi="Arial" w:cs="Arial"/>
              </w:rPr>
            </w:pPr>
          </w:p>
          <w:p w14:paraId="731F4A8C" w14:textId="77777777" w:rsidR="00D80F06" w:rsidRDefault="00885FDA">
            <w:pPr>
              <w:rPr>
                <w:rFonts w:ascii="Arial" w:eastAsia="Arial" w:hAnsi="Arial" w:cs="Arial"/>
              </w:rPr>
            </w:pPr>
            <w:r>
              <w:rPr>
                <w:rFonts w:ascii="Arial" w:eastAsia="Arial" w:hAnsi="Arial" w:cs="Arial"/>
              </w:rPr>
              <w:t>Application 17-01-012</w:t>
            </w:r>
          </w:p>
          <w:p w14:paraId="127BD665" w14:textId="77777777" w:rsidR="00D80F06" w:rsidRDefault="00885FDA">
            <w:pPr>
              <w:rPr>
                <w:rFonts w:ascii="Arial" w:eastAsia="Arial" w:hAnsi="Arial" w:cs="Arial"/>
              </w:rPr>
            </w:pPr>
            <w:r>
              <w:rPr>
                <w:rFonts w:ascii="Arial" w:eastAsia="Arial" w:hAnsi="Arial" w:cs="Arial"/>
              </w:rPr>
              <w:t>(Filed January 17, 2017)</w:t>
            </w:r>
          </w:p>
          <w:p w14:paraId="33DCAC25" w14:textId="77777777" w:rsidR="00D80F06" w:rsidRDefault="00D80F06">
            <w:pPr>
              <w:rPr>
                <w:rFonts w:ascii="Arial" w:eastAsia="Arial" w:hAnsi="Arial" w:cs="Arial"/>
              </w:rPr>
            </w:pPr>
          </w:p>
          <w:p w14:paraId="33C4DDE9" w14:textId="77777777" w:rsidR="00D80F06" w:rsidRDefault="00D80F06">
            <w:pPr>
              <w:rPr>
                <w:rFonts w:ascii="Arial" w:eastAsia="Arial" w:hAnsi="Arial" w:cs="Arial"/>
              </w:rPr>
            </w:pPr>
          </w:p>
          <w:p w14:paraId="2281FEA6" w14:textId="77777777" w:rsidR="00D80F06" w:rsidRDefault="00D80F06">
            <w:pPr>
              <w:rPr>
                <w:rFonts w:ascii="Arial" w:eastAsia="Arial" w:hAnsi="Arial" w:cs="Arial"/>
              </w:rPr>
            </w:pPr>
          </w:p>
          <w:p w14:paraId="7012F953" w14:textId="77777777" w:rsidR="00D80F06" w:rsidRDefault="00D80F06">
            <w:pPr>
              <w:rPr>
                <w:rFonts w:ascii="Arial" w:eastAsia="Arial" w:hAnsi="Arial" w:cs="Arial"/>
              </w:rPr>
            </w:pPr>
          </w:p>
          <w:p w14:paraId="22F3C8E2" w14:textId="77777777" w:rsidR="00D80F06" w:rsidRDefault="00885FDA">
            <w:pPr>
              <w:rPr>
                <w:rFonts w:ascii="Arial" w:eastAsia="Arial" w:hAnsi="Arial" w:cs="Arial"/>
              </w:rPr>
            </w:pPr>
            <w:r>
              <w:rPr>
                <w:rFonts w:ascii="Arial" w:eastAsia="Arial" w:hAnsi="Arial" w:cs="Arial"/>
              </w:rPr>
              <w:t>Application 17-01-018</w:t>
            </w:r>
          </w:p>
          <w:p w14:paraId="7D6E56F2" w14:textId="77777777" w:rsidR="00D80F06" w:rsidRDefault="00885FDA">
            <w:pPr>
              <w:rPr>
                <w:rFonts w:ascii="Arial" w:eastAsia="Arial" w:hAnsi="Arial" w:cs="Arial"/>
              </w:rPr>
            </w:pPr>
            <w:r>
              <w:rPr>
                <w:rFonts w:ascii="Arial" w:eastAsia="Arial" w:hAnsi="Arial" w:cs="Arial"/>
              </w:rPr>
              <w:t>(Filed January 17, 2017)</w:t>
            </w:r>
          </w:p>
          <w:p w14:paraId="0D0A81BF" w14:textId="77777777" w:rsidR="00D80F06" w:rsidRDefault="00D80F06">
            <w:pPr>
              <w:rPr>
                <w:rFonts w:ascii="Arial" w:eastAsia="Arial" w:hAnsi="Arial" w:cs="Arial"/>
              </w:rPr>
            </w:pPr>
          </w:p>
          <w:p w14:paraId="67202B5D" w14:textId="77777777" w:rsidR="00D80F06" w:rsidRDefault="00D80F06">
            <w:pPr>
              <w:rPr>
                <w:rFonts w:ascii="Arial" w:eastAsia="Arial" w:hAnsi="Arial" w:cs="Arial"/>
              </w:rPr>
            </w:pPr>
          </w:p>
          <w:p w14:paraId="582C8AB7" w14:textId="77777777" w:rsidR="00D80F06" w:rsidRDefault="00D80F06">
            <w:pPr>
              <w:rPr>
                <w:rFonts w:ascii="Arial" w:eastAsia="Arial" w:hAnsi="Arial" w:cs="Arial"/>
              </w:rPr>
            </w:pPr>
          </w:p>
          <w:p w14:paraId="3FD278F4" w14:textId="77777777" w:rsidR="00D80F06" w:rsidRDefault="00D80F06">
            <w:pPr>
              <w:rPr>
                <w:rFonts w:ascii="Arial" w:eastAsia="Arial" w:hAnsi="Arial" w:cs="Arial"/>
              </w:rPr>
            </w:pPr>
          </w:p>
          <w:p w14:paraId="087706C1" w14:textId="77777777" w:rsidR="00D80F06" w:rsidRDefault="00885FDA">
            <w:pPr>
              <w:rPr>
                <w:rFonts w:ascii="Arial" w:eastAsia="Arial" w:hAnsi="Arial" w:cs="Arial"/>
              </w:rPr>
            </w:pPr>
            <w:r>
              <w:rPr>
                <w:rFonts w:ascii="Arial" w:eastAsia="Arial" w:hAnsi="Arial" w:cs="Arial"/>
              </w:rPr>
              <w:t>Application 17-01-019</w:t>
            </w:r>
          </w:p>
          <w:p w14:paraId="594AD2FC" w14:textId="77777777" w:rsidR="00D80F06" w:rsidRDefault="00885FDA">
            <w:pPr>
              <w:rPr>
                <w:rFonts w:ascii="Calibri" w:eastAsia="Calibri" w:hAnsi="Calibri" w:cs="Calibri"/>
                <w:sz w:val="22"/>
                <w:szCs w:val="22"/>
              </w:rPr>
            </w:pPr>
            <w:r>
              <w:rPr>
                <w:rFonts w:ascii="Arial" w:eastAsia="Arial" w:hAnsi="Arial" w:cs="Arial"/>
              </w:rPr>
              <w:t>(Filed January 17, 2017)</w:t>
            </w:r>
          </w:p>
        </w:tc>
      </w:tr>
      <w:tr w:rsidR="00D80F06" w14:paraId="66FBFF22" w14:textId="77777777">
        <w:trPr>
          <w:trHeight w:val="1400"/>
          <w:jc w:val="center"/>
        </w:trPr>
        <w:tc>
          <w:tcPr>
            <w:tcW w:w="5040"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05CF3B90" w14:textId="77777777" w:rsidR="00D80F06" w:rsidRDefault="00D80F06">
            <w:pPr>
              <w:rPr>
                <w:rFonts w:ascii="Arial" w:eastAsia="Arial" w:hAnsi="Arial" w:cs="Arial"/>
              </w:rPr>
            </w:pPr>
          </w:p>
          <w:p w14:paraId="7A2CC625" w14:textId="77777777" w:rsidR="00D80F06" w:rsidRDefault="00885FDA">
            <w:pPr>
              <w:rPr>
                <w:rFonts w:ascii="Calibri" w:eastAsia="Calibri" w:hAnsi="Calibri" w:cs="Calibri"/>
                <w:sz w:val="22"/>
                <w:szCs w:val="22"/>
              </w:rPr>
            </w:pPr>
            <w:r>
              <w:rPr>
                <w:rFonts w:ascii="Arial" w:eastAsia="Arial" w:hAnsi="Arial" w:cs="Arial"/>
              </w:rPr>
              <w:t>Application of Southern California Edison Company (U338E) for Approval of its 2018-2022 Demand Response Programs.</w:t>
            </w:r>
          </w:p>
        </w:tc>
        <w:tc>
          <w:tcPr>
            <w:tcW w:w="3690" w:type="dxa"/>
            <w:vMerge/>
            <w:tcBorders>
              <w:top w:val="nil"/>
              <w:left w:val="single" w:sz="4" w:space="0" w:color="000000"/>
              <w:bottom w:val="nil"/>
              <w:right w:val="nil"/>
            </w:tcBorders>
            <w:shd w:val="clear" w:color="auto" w:fill="auto"/>
            <w:tcMar>
              <w:top w:w="80" w:type="dxa"/>
              <w:left w:w="80" w:type="dxa"/>
              <w:bottom w:w="80" w:type="dxa"/>
              <w:right w:w="80" w:type="dxa"/>
            </w:tcMar>
          </w:tcPr>
          <w:p w14:paraId="22BA7A8C" w14:textId="77777777" w:rsidR="00D80F06" w:rsidRDefault="00D80F06"/>
        </w:tc>
      </w:tr>
      <w:tr w:rsidR="00D80F06" w14:paraId="73E898DF" w14:textId="77777777">
        <w:trPr>
          <w:trHeight w:val="1960"/>
          <w:jc w:val="center"/>
        </w:trPr>
        <w:tc>
          <w:tcPr>
            <w:tcW w:w="5040" w:type="dxa"/>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6C77B6FB" w14:textId="77777777" w:rsidR="00D80F06" w:rsidRDefault="00D80F06">
            <w:pPr>
              <w:rPr>
                <w:rFonts w:ascii="Arial" w:eastAsia="Arial" w:hAnsi="Arial" w:cs="Arial"/>
              </w:rPr>
            </w:pPr>
          </w:p>
          <w:p w14:paraId="47B3B026" w14:textId="77777777" w:rsidR="00D80F06" w:rsidRDefault="00885FDA">
            <w:pPr>
              <w:rPr>
                <w:rFonts w:ascii="Calibri" w:eastAsia="Calibri" w:hAnsi="Calibri" w:cs="Calibri"/>
                <w:sz w:val="22"/>
                <w:szCs w:val="22"/>
              </w:rPr>
            </w:pPr>
            <w:r>
              <w:rPr>
                <w:rFonts w:ascii="Arial" w:eastAsia="Arial" w:hAnsi="Arial" w:cs="Arial"/>
              </w:rPr>
              <w:t>Application of San Diego Gas &amp; Electric Company (U902E) Requesting Approval and Funding for 2018-2022 Demand Response Portfolio in compliance with Decision 16-09-056</w:t>
            </w:r>
          </w:p>
        </w:tc>
        <w:tc>
          <w:tcPr>
            <w:tcW w:w="3690" w:type="dxa"/>
            <w:vMerge/>
            <w:tcBorders>
              <w:top w:val="nil"/>
              <w:left w:val="single" w:sz="4" w:space="0" w:color="000000"/>
              <w:bottom w:val="nil"/>
              <w:right w:val="nil"/>
            </w:tcBorders>
            <w:shd w:val="clear" w:color="auto" w:fill="auto"/>
            <w:tcMar>
              <w:top w:w="80" w:type="dxa"/>
              <w:left w:w="80" w:type="dxa"/>
              <w:bottom w:w="80" w:type="dxa"/>
              <w:right w:w="80" w:type="dxa"/>
            </w:tcMar>
          </w:tcPr>
          <w:p w14:paraId="53796A1C" w14:textId="77777777" w:rsidR="00D80F06" w:rsidRDefault="00D80F06"/>
        </w:tc>
      </w:tr>
    </w:tbl>
    <w:p w14:paraId="3D3DA803" w14:textId="77777777" w:rsidR="00D80F06" w:rsidRDefault="00D80F06">
      <w:pPr>
        <w:widowControl w:val="0"/>
        <w:ind w:left="468" w:hanging="468"/>
        <w:jc w:val="center"/>
        <w:rPr>
          <w:rFonts w:ascii="Arial" w:eastAsia="Arial" w:hAnsi="Arial" w:cs="Arial"/>
        </w:rPr>
      </w:pPr>
    </w:p>
    <w:p w14:paraId="01633E74" w14:textId="77777777" w:rsidR="00D80F06" w:rsidRDefault="00D80F06">
      <w:pPr>
        <w:rPr>
          <w:rFonts w:ascii="Arial" w:eastAsia="Arial" w:hAnsi="Arial" w:cs="Arial"/>
          <w:b/>
        </w:rPr>
      </w:pPr>
    </w:p>
    <w:p w14:paraId="575FA6EE" w14:textId="77777777" w:rsidR="00D80F06" w:rsidRDefault="00D80F06">
      <w:pPr>
        <w:rPr>
          <w:rFonts w:ascii="Arial" w:eastAsia="Arial" w:hAnsi="Arial" w:cs="Arial"/>
          <w:b/>
        </w:rPr>
      </w:pPr>
    </w:p>
    <w:p w14:paraId="0B93DA8C" w14:textId="77777777" w:rsidR="00D80F06" w:rsidRDefault="00885FDA">
      <w:pPr>
        <w:jc w:val="center"/>
        <w:rPr>
          <w:rFonts w:ascii="Arial" w:eastAsia="Arial" w:hAnsi="Arial" w:cs="Arial"/>
          <w:b/>
        </w:rPr>
      </w:pPr>
      <w:proofErr w:type="gramStart"/>
      <w:r>
        <w:rPr>
          <w:rFonts w:ascii="Arial" w:eastAsia="Arial" w:hAnsi="Arial" w:cs="Arial"/>
          <w:b/>
        </w:rPr>
        <w:t>INFORMAL COMMENTS OF OLIVINE, INC.</w:t>
      </w:r>
      <w:proofErr w:type="gramEnd"/>
      <w:r>
        <w:rPr>
          <w:rFonts w:ascii="Arial" w:eastAsia="Arial" w:hAnsi="Arial" w:cs="Arial"/>
          <w:b/>
        </w:rPr>
        <w:t xml:space="preserve"> </w:t>
      </w:r>
    </w:p>
    <w:p w14:paraId="4233E2E2" w14:textId="77777777" w:rsidR="00D80F06" w:rsidRDefault="00885FDA">
      <w:pPr>
        <w:jc w:val="center"/>
        <w:rPr>
          <w:rFonts w:ascii="Arial" w:eastAsia="Arial" w:hAnsi="Arial" w:cs="Arial"/>
          <w:b/>
        </w:rPr>
      </w:pPr>
      <w:r>
        <w:rPr>
          <w:rFonts w:ascii="Arial" w:eastAsia="Arial" w:hAnsi="Arial" w:cs="Arial"/>
          <w:b/>
        </w:rPr>
        <w:t>ON DEMAND RESPONSE PILOTS FOR DISADVANTAGED COMMUNITIES</w:t>
      </w:r>
    </w:p>
    <w:p w14:paraId="5B93D084" w14:textId="77777777" w:rsidR="00D80F06" w:rsidRDefault="00D80F06">
      <w:pPr>
        <w:jc w:val="center"/>
        <w:rPr>
          <w:rFonts w:ascii="Arial" w:eastAsia="Arial" w:hAnsi="Arial" w:cs="Arial"/>
          <w:b/>
        </w:rPr>
      </w:pPr>
    </w:p>
    <w:p w14:paraId="50B33EAE" w14:textId="77777777" w:rsidR="00D80F06" w:rsidRDefault="00D80F06">
      <w:pPr>
        <w:spacing w:after="200" w:line="276" w:lineRule="auto"/>
        <w:rPr>
          <w:rFonts w:ascii="Arial" w:eastAsia="Arial" w:hAnsi="Arial" w:cs="Arial"/>
        </w:rPr>
      </w:pPr>
    </w:p>
    <w:p w14:paraId="0778742D" w14:textId="787CC826" w:rsidR="00D80F06" w:rsidRDefault="00885FDA">
      <w:pPr>
        <w:spacing w:after="200" w:line="480" w:lineRule="auto"/>
        <w:ind w:firstLine="720"/>
        <w:rPr>
          <w:rFonts w:ascii="Arial" w:eastAsia="Arial" w:hAnsi="Arial" w:cs="Arial"/>
        </w:rPr>
      </w:pPr>
      <w:r>
        <w:rPr>
          <w:rFonts w:ascii="Arial" w:eastAsia="Arial" w:hAnsi="Arial" w:cs="Arial"/>
        </w:rPr>
        <w:t>Pursuant to the instruc</w:t>
      </w:r>
      <w:r w:rsidR="001137B0">
        <w:rPr>
          <w:rFonts w:ascii="Arial" w:eastAsia="Arial" w:hAnsi="Arial" w:cs="Arial"/>
        </w:rPr>
        <w:t>tions given by staff at the February</w:t>
      </w:r>
      <w:r>
        <w:rPr>
          <w:rFonts w:ascii="Arial" w:eastAsia="Arial" w:hAnsi="Arial" w:cs="Arial"/>
        </w:rPr>
        <w:t xml:space="preserve"> 15 workshop and the email dated February 20, 2018, Olivine submits these informal comments on Demand Response (DR) Pilots for Disadvantaged Communities. </w:t>
      </w:r>
    </w:p>
    <w:p w14:paraId="330DA975" w14:textId="77777777" w:rsidR="00D80F06" w:rsidRDefault="00885FDA">
      <w:pPr>
        <w:numPr>
          <w:ilvl w:val="0"/>
          <w:numId w:val="10"/>
        </w:numPr>
        <w:spacing w:line="480" w:lineRule="auto"/>
        <w:rPr>
          <w:rFonts w:ascii="Arial" w:eastAsia="Arial" w:hAnsi="Arial" w:cs="Arial"/>
        </w:rPr>
      </w:pPr>
      <w:r>
        <w:rPr>
          <w:rFonts w:ascii="Arial" w:eastAsia="Arial" w:hAnsi="Arial" w:cs="Arial"/>
          <w:b/>
          <w:smallCaps/>
        </w:rPr>
        <w:t xml:space="preserve">INTRODUCTION  </w:t>
      </w:r>
    </w:p>
    <w:p w14:paraId="369955E5" w14:textId="28EA9037" w:rsidR="00D80F06" w:rsidRDefault="00885FDA" w:rsidP="001137B0">
      <w:pPr>
        <w:spacing w:line="480" w:lineRule="auto"/>
        <w:ind w:firstLine="720"/>
        <w:rPr>
          <w:rFonts w:ascii="Arial" w:eastAsia="Arial" w:hAnsi="Arial" w:cs="Arial"/>
        </w:rPr>
      </w:pPr>
      <w:r w:rsidRPr="0041352E">
        <w:rPr>
          <w:rFonts w:ascii="Arial" w:eastAsia="Arial" w:hAnsi="Arial" w:cs="Arial"/>
          <w:color w:val="000000" w:themeColor="text1"/>
          <w:highlight w:val="white"/>
        </w:rPr>
        <w:t xml:space="preserve">Olivine began operating in the demand response and distributed energy resource space in 2011.  Olivine’s technology and unique service offerings have helped implement DR and DER programs and provide effective efficiency options to unlock </w:t>
      </w:r>
      <w:r w:rsidRPr="0041352E">
        <w:rPr>
          <w:rFonts w:ascii="Arial" w:eastAsia="Arial" w:hAnsi="Arial" w:cs="Arial"/>
          <w:color w:val="000000" w:themeColor="text1"/>
          <w:highlight w:val="white"/>
        </w:rPr>
        <w:lastRenderedPageBreak/>
        <w:t>greater value streams for all consumers. Olivine’s</w:t>
      </w:r>
      <w:r w:rsidRPr="0041352E">
        <w:rPr>
          <w:rFonts w:ascii="Arial" w:eastAsia="Arial" w:hAnsi="Arial" w:cs="Arial"/>
          <w:color w:val="000000" w:themeColor="text1"/>
          <w:sz w:val="28"/>
          <w:szCs w:val="28"/>
        </w:rPr>
        <w:t xml:space="preserve"> </w:t>
      </w:r>
      <w:r w:rsidRPr="0041352E">
        <w:rPr>
          <w:rFonts w:ascii="Arial" w:eastAsia="Arial" w:hAnsi="Arial" w:cs="Arial"/>
          <w:color w:val="000000" w:themeColor="text1"/>
          <w:highlight w:val="white"/>
        </w:rPr>
        <w:t xml:space="preserve">DER System is a comprehensive technology platform designed to lower costs and maximize the value of distributed energy resources, Olivine’s system is highly configurable and flexible, enabling wholesale market and retail participation as well as operational simulation, running the gamut from longer term capacity procurements down to real-time frequency regulation integration. It is utilized as an interface between DER owners and markets and distribution programs, as well as a complete system for managing complex demand response programs. </w:t>
      </w:r>
      <w:r w:rsidRPr="0041352E">
        <w:rPr>
          <w:rFonts w:ascii="Arial" w:eastAsia="Arial" w:hAnsi="Arial" w:cs="Arial"/>
          <w:color w:val="000000" w:themeColor="text1"/>
        </w:rPr>
        <w:t xml:space="preserve"> </w:t>
      </w:r>
    </w:p>
    <w:p w14:paraId="338115D9" w14:textId="77777777" w:rsidR="00D80F06" w:rsidRDefault="00885FDA">
      <w:pPr>
        <w:spacing w:line="480" w:lineRule="auto"/>
        <w:ind w:firstLine="720"/>
        <w:rPr>
          <w:rFonts w:ascii="Arial" w:eastAsia="Arial" w:hAnsi="Arial" w:cs="Arial"/>
        </w:rPr>
      </w:pPr>
      <w:r>
        <w:rPr>
          <w:rFonts w:ascii="Arial" w:eastAsia="Arial" w:hAnsi="Arial" w:cs="Arial"/>
        </w:rPr>
        <w:t xml:space="preserve"> As a preliminary step to understanding how to best approach a DR pilot design for Disadvantaged Communities, Olivine believes it is both necessary to look at the available data collected on Disadvantaged Communities as well as to understand the concerns and issues of those communities in order to arrive at a more complete picture. As such, we conducted a data analysis of those communities and an outreach effort to community stakeholders. The data analysis portion is presented in a later section. </w:t>
      </w:r>
    </w:p>
    <w:p w14:paraId="7A2FEFA2" w14:textId="4F7897EF" w:rsidR="00D80F06" w:rsidRDefault="00885FDA">
      <w:pPr>
        <w:spacing w:line="480" w:lineRule="auto"/>
        <w:ind w:firstLine="720"/>
        <w:rPr>
          <w:rFonts w:ascii="Arial" w:eastAsia="Arial" w:hAnsi="Arial" w:cs="Arial"/>
        </w:rPr>
      </w:pPr>
      <w:r>
        <w:rPr>
          <w:rFonts w:ascii="Arial" w:eastAsia="Arial" w:hAnsi="Arial" w:cs="Arial"/>
        </w:rPr>
        <w:t>Olivine reached out to several of the policy stakeholders present at the February 15</w:t>
      </w:r>
      <w:r>
        <w:rPr>
          <w:rFonts w:ascii="Arial" w:eastAsia="Arial" w:hAnsi="Arial" w:cs="Arial"/>
          <w:vertAlign w:val="superscript"/>
        </w:rPr>
        <w:t>th</w:t>
      </w:r>
      <w:r>
        <w:rPr>
          <w:rFonts w:ascii="Arial" w:eastAsia="Arial" w:hAnsi="Arial" w:cs="Arial"/>
        </w:rPr>
        <w:t xml:space="preserve"> workshop to get input into areas of greatest concern for Disadvantaged Communities as well as factors that influence the type of DR offerings made available to these communities. We spoke with Rey León from the City of Huron to better understand his community’s concerns and the types of programs and goals regarding energy solutions that are being proposed for his community. We also spoke with Kevin Hamilton from the Central California Asthma Collaborative and with Shana </w:t>
      </w:r>
      <w:proofErr w:type="spellStart"/>
      <w:r>
        <w:rPr>
          <w:rFonts w:ascii="Arial" w:eastAsia="Arial" w:hAnsi="Arial" w:cs="Arial"/>
        </w:rPr>
        <w:t>Lazerow</w:t>
      </w:r>
      <w:proofErr w:type="spellEnd"/>
      <w:r>
        <w:rPr>
          <w:rFonts w:ascii="Arial" w:eastAsia="Arial" w:hAnsi="Arial" w:cs="Arial"/>
        </w:rPr>
        <w:t xml:space="preserve"> and others with the Center for A Better Environment to better understand the kinds of work already being carried out in these communities as well as</w:t>
      </w:r>
      <w:r w:rsidR="0041352E">
        <w:rPr>
          <w:rFonts w:ascii="Arial" w:eastAsia="Arial" w:hAnsi="Arial" w:cs="Arial"/>
        </w:rPr>
        <w:t xml:space="preserve"> gather</w:t>
      </w:r>
      <w:r>
        <w:rPr>
          <w:rFonts w:ascii="Arial" w:eastAsia="Arial" w:hAnsi="Arial" w:cs="Arial"/>
        </w:rPr>
        <w:t xml:space="preserve"> ideas on different </w:t>
      </w:r>
      <w:r>
        <w:rPr>
          <w:rFonts w:ascii="Arial" w:eastAsia="Arial" w:hAnsi="Arial" w:cs="Arial"/>
        </w:rPr>
        <w:lastRenderedPageBreak/>
        <w:t xml:space="preserve">aspects of a DR pilot design. These invaluable conversations informed our responses to these questions. </w:t>
      </w:r>
    </w:p>
    <w:p w14:paraId="1C0916D6" w14:textId="77777777" w:rsidR="00D80F06" w:rsidRDefault="00885FDA">
      <w:pPr>
        <w:spacing w:line="480" w:lineRule="auto"/>
        <w:ind w:firstLine="720"/>
        <w:rPr>
          <w:rFonts w:ascii="Arial" w:eastAsia="Arial" w:hAnsi="Arial" w:cs="Arial"/>
        </w:rPr>
      </w:pPr>
      <w:r>
        <w:rPr>
          <w:rFonts w:ascii="Arial" w:eastAsia="Arial" w:hAnsi="Arial" w:cs="Arial"/>
        </w:rPr>
        <w:t>What we heard in these conversations is the need to address the issue of equity head on; that is, ensuring that the benefits derived from any DR program are directed primarily towards the end-users in the communities. It is a smart strategy to target customers already enabled with smart technology; however, this excludes large portions of the population who do not already have such technologies from receiving economic benefits. Some of these communities may often lack basic amenities such as sidewalks, garbage service, street lights, and transportation.</w:t>
      </w:r>
      <w:r>
        <w:rPr>
          <w:rFonts w:ascii="Arial" w:eastAsia="Arial" w:hAnsi="Arial" w:cs="Arial"/>
          <w:vertAlign w:val="superscript"/>
        </w:rPr>
        <w:footnoteReference w:id="1"/>
      </w:r>
      <w:r>
        <w:rPr>
          <w:rFonts w:ascii="Arial" w:eastAsia="Arial" w:hAnsi="Arial" w:cs="Arial"/>
        </w:rPr>
        <w:t xml:space="preserve"> The pilot should aim to assist these kinds of Disadvantaged Communities as well as those with better amenities and infrastructure. Additionally, job creation and concerns of how to create a clean energy economy within those communities are of primary importance. The stakeholders stressed the need to hire from within the Disadvantaged Communities as much as possible, not only for the economic benefits, but as a way to get community buy-in and increase participation. Other concerns include the need for evaluation and accountability written into the scope of the pilot, so that the pilot accomplishes its goal of serving residents of Disadvantaged Communities. We intend to continue these outreach efforts, and have initiated conversations with the utilities, as well. </w:t>
      </w:r>
    </w:p>
    <w:p w14:paraId="41D48E91" w14:textId="77777777" w:rsidR="00D80F06" w:rsidRDefault="00D80F06">
      <w:pPr>
        <w:spacing w:line="480" w:lineRule="auto"/>
        <w:ind w:firstLine="720"/>
        <w:rPr>
          <w:rFonts w:ascii="Arial" w:eastAsia="Arial" w:hAnsi="Arial" w:cs="Arial"/>
        </w:rPr>
      </w:pPr>
    </w:p>
    <w:p w14:paraId="126E3528" w14:textId="77777777" w:rsidR="00D80F06" w:rsidRDefault="00885FDA">
      <w:pPr>
        <w:numPr>
          <w:ilvl w:val="0"/>
          <w:numId w:val="1"/>
        </w:numPr>
        <w:spacing w:before="120" w:after="360"/>
        <w:rPr>
          <w:rFonts w:ascii="Arial" w:eastAsia="Arial" w:hAnsi="Arial" w:cs="Arial"/>
        </w:rPr>
      </w:pPr>
      <w:r>
        <w:rPr>
          <w:rFonts w:ascii="Arial" w:eastAsia="Arial" w:hAnsi="Arial" w:cs="Arial"/>
          <w:b/>
        </w:rPr>
        <w:t>RESPONSES TO ED QUESTIONS</w:t>
      </w:r>
    </w:p>
    <w:p w14:paraId="28FA0943" w14:textId="77777777" w:rsidR="00D80F06" w:rsidRDefault="00885FDA">
      <w:pPr>
        <w:spacing w:after="200" w:line="480" w:lineRule="auto"/>
        <w:ind w:firstLine="720"/>
        <w:rPr>
          <w:rFonts w:ascii="Arial" w:eastAsia="Arial" w:hAnsi="Arial" w:cs="Arial"/>
        </w:rPr>
      </w:pPr>
      <w:r>
        <w:rPr>
          <w:rFonts w:ascii="Arial" w:eastAsia="Arial" w:hAnsi="Arial" w:cs="Arial"/>
        </w:rPr>
        <w:t xml:space="preserve">The Energy Division staff questions are reproduced in blue font below for the reader’s convenience, with Olivine’s responses in black font.  </w:t>
      </w:r>
    </w:p>
    <w:p w14:paraId="1B421EFE" w14:textId="77777777" w:rsidR="00D80F06" w:rsidRDefault="00885FDA">
      <w:pPr>
        <w:numPr>
          <w:ilvl w:val="0"/>
          <w:numId w:val="2"/>
        </w:numPr>
        <w:rPr>
          <w:rFonts w:ascii="Arial" w:eastAsia="Arial" w:hAnsi="Arial" w:cs="Arial"/>
          <w:color w:val="365F91"/>
        </w:rPr>
      </w:pPr>
      <w:r>
        <w:rPr>
          <w:rFonts w:ascii="Arial" w:eastAsia="Arial" w:hAnsi="Arial" w:cs="Arial"/>
          <w:color w:val="365F91"/>
          <w:u w:val="single"/>
        </w:rPr>
        <w:lastRenderedPageBreak/>
        <w:t>Regarding the draft straw proposal</w:t>
      </w:r>
      <w:r>
        <w:rPr>
          <w:rFonts w:ascii="Arial" w:eastAsia="Arial" w:hAnsi="Arial" w:cs="Arial"/>
          <w:color w:val="365F91"/>
        </w:rPr>
        <w:t xml:space="preserve">: </w:t>
      </w:r>
    </w:p>
    <w:p w14:paraId="52ABACF8" w14:textId="77777777" w:rsidR="00D80F06" w:rsidRDefault="00885FDA">
      <w:pPr>
        <w:numPr>
          <w:ilvl w:val="1"/>
          <w:numId w:val="4"/>
        </w:numPr>
        <w:rPr>
          <w:color w:val="365F91"/>
        </w:rPr>
      </w:pPr>
      <w:r>
        <w:rPr>
          <w:rFonts w:ascii="Arial" w:eastAsia="Arial" w:hAnsi="Arial" w:cs="Arial"/>
          <w:color w:val="365F91"/>
        </w:rPr>
        <w:t>Would you change the environmental and economic goals, the system and local objectives, or the definition of disadvantaged communities?   If so, please describe and explain.</w:t>
      </w:r>
    </w:p>
    <w:p w14:paraId="1F1796DD" w14:textId="77777777" w:rsidR="00D80F06" w:rsidRDefault="00D80F06">
      <w:pPr>
        <w:spacing w:after="200" w:line="276" w:lineRule="auto"/>
        <w:rPr>
          <w:rFonts w:ascii="Arial" w:eastAsia="Arial" w:hAnsi="Arial" w:cs="Arial"/>
          <w:color w:val="365F91"/>
        </w:rPr>
      </w:pPr>
    </w:p>
    <w:p w14:paraId="67035DEC" w14:textId="77777777" w:rsidR="00D80F06" w:rsidRDefault="00885FDA" w:rsidP="001137B0">
      <w:pPr>
        <w:spacing w:after="200" w:line="480" w:lineRule="auto"/>
        <w:rPr>
          <w:rFonts w:ascii="Arial" w:eastAsia="Arial" w:hAnsi="Arial" w:cs="Arial"/>
        </w:rPr>
      </w:pPr>
      <w:r>
        <w:rPr>
          <w:rFonts w:ascii="Arial" w:eastAsia="Arial" w:hAnsi="Arial" w:cs="Arial"/>
        </w:rPr>
        <w:t xml:space="preserve">Olivine does not believe that there need to be any changes to the goals and objectives outlined in the straw proposal. </w:t>
      </w:r>
    </w:p>
    <w:p w14:paraId="07370513" w14:textId="77777777" w:rsidR="00D80F06" w:rsidRDefault="00885FDA">
      <w:pPr>
        <w:numPr>
          <w:ilvl w:val="1"/>
          <w:numId w:val="4"/>
        </w:numPr>
        <w:rPr>
          <w:color w:val="365F91"/>
        </w:rPr>
      </w:pPr>
      <w:r>
        <w:rPr>
          <w:rFonts w:ascii="Arial" w:eastAsia="Arial" w:hAnsi="Arial" w:cs="Arial"/>
          <w:color w:val="365F91"/>
        </w:rPr>
        <w:t xml:space="preserve"> What would you propose for pilots targeting disadvantaged communities? </w:t>
      </w:r>
    </w:p>
    <w:p w14:paraId="64CA5150" w14:textId="77777777" w:rsidR="00D80F06" w:rsidRDefault="00D80F06">
      <w:pPr>
        <w:spacing w:after="200" w:line="276" w:lineRule="auto"/>
        <w:rPr>
          <w:rFonts w:ascii="Arial" w:eastAsia="Arial" w:hAnsi="Arial" w:cs="Arial"/>
        </w:rPr>
      </w:pPr>
    </w:p>
    <w:p w14:paraId="5C63CEC2" w14:textId="2304C12B" w:rsidR="004E456B" w:rsidRDefault="00153B05" w:rsidP="001137B0">
      <w:pPr>
        <w:spacing w:after="200" w:line="480" w:lineRule="auto"/>
        <w:rPr>
          <w:rFonts w:ascii="Arial" w:eastAsia="Arial" w:hAnsi="Arial" w:cs="Arial"/>
        </w:rPr>
      </w:pPr>
      <w:r>
        <w:rPr>
          <w:rFonts w:ascii="Arial" w:eastAsia="Arial" w:hAnsi="Arial" w:cs="Arial"/>
        </w:rPr>
        <w:t>Ideally</w:t>
      </w:r>
      <w:r w:rsidR="001137B0">
        <w:rPr>
          <w:rFonts w:ascii="Arial" w:eastAsia="Arial" w:hAnsi="Arial" w:cs="Arial"/>
        </w:rPr>
        <w:t>,</w:t>
      </w:r>
      <w:r>
        <w:rPr>
          <w:rFonts w:ascii="Arial" w:eastAsia="Arial" w:hAnsi="Arial" w:cs="Arial"/>
        </w:rPr>
        <w:t xml:space="preserve"> we would leverage existing pilots and programs</w:t>
      </w:r>
      <w:r w:rsidR="004E456B">
        <w:rPr>
          <w:rFonts w:ascii="Arial" w:eastAsia="Arial" w:hAnsi="Arial" w:cs="Arial"/>
        </w:rPr>
        <w:t xml:space="preserve"> for maximum impact and benefit.  As administrators for </w:t>
      </w:r>
      <w:r w:rsidR="00885FDA">
        <w:rPr>
          <w:rFonts w:ascii="Arial" w:eastAsia="Arial" w:hAnsi="Arial" w:cs="Arial"/>
        </w:rPr>
        <w:t>PG&amp;E</w:t>
      </w:r>
      <w:r w:rsidR="004E456B">
        <w:rPr>
          <w:rFonts w:ascii="Arial" w:eastAsia="Arial" w:hAnsi="Arial" w:cs="Arial"/>
        </w:rPr>
        <w:t>’s XSP pilot we have discussed the possibility of incorporating a targeted Disadvantaged Community into the XSP.  This could enable the DAC pilot to focus on areas of concern specific to Disadvantaged Communities including evaluating various outreach methodologies to ensure the greatest levels of participation possible are reached. Partnering with other organizations and agencies such as Air Quality Management Districts in high pollution areas such as the San Joaquin Valley could leverage ongoing air pollution reduction efforts.</w:t>
      </w:r>
    </w:p>
    <w:p w14:paraId="409E58BB" w14:textId="7CD350B8" w:rsidR="00D80F06" w:rsidRDefault="00885FDA" w:rsidP="001137B0">
      <w:pPr>
        <w:spacing w:after="200" w:line="480" w:lineRule="auto"/>
        <w:rPr>
          <w:rFonts w:ascii="Arial" w:eastAsia="Arial" w:hAnsi="Arial" w:cs="Arial"/>
        </w:rPr>
      </w:pPr>
      <w:r>
        <w:rPr>
          <w:rFonts w:ascii="Arial" w:eastAsia="Arial" w:hAnsi="Arial" w:cs="Arial"/>
        </w:rPr>
        <w:t xml:space="preserve">Olivine believes there is a lack of understanding of how to access Disadvantaged Communities and enable the residents to effectively participate in the programs that are available to them.  </w:t>
      </w:r>
      <w:r w:rsidR="004E456B">
        <w:rPr>
          <w:rFonts w:ascii="Arial" w:eastAsia="Arial" w:hAnsi="Arial" w:cs="Arial"/>
        </w:rPr>
        <w:t xml:space="preserve">Including </w:t>
      </w:r>
      <w:r>
        <w:rPr>
          <w:rFonts w:ascii="Arial" w:eastAsia="Arial" w:hAnsi="Arial" w:cs="Arial"/>
        </w:rPr>
        <w:t xml:space="preserve">a study component </w:t>
      </w:r>
      <w:r w:rsidR="004E456B">
        <w:rPr>
          <w:rFonts w:ascii="Arial" w:eastAsia="Arial" w:hAnsi="Arial" w:cs="Arial"/>
        </w:rPr>
        <w:t>in</w:t>
      </w:r>
      <w:r>
        <w:rPr>
          <w:rFonts w:ascii="Arial" w:eastAsia="Arial" w:hAnsi="Arial" w:cs="Arial"/>
        </w:rPr>
        <w:t xml:space="preserve"> these pilots </w:t>
      </w:r>
      <w:r w:rsidR="004E456B">
        <w:rPr>
          <w:rFonts w:ascii="Arial" w:eastAsia="Arial" w:hAnsi="Arial" w:cs="Arial"/>
        </w:rPr>
        <w:t>would</w:t>
      </w:r>
      <w:r>
        <w:rPr>
          <w:rFonts w:ascii="Arial" w:eastAsia="Arial" w:hAnsi="Arial" w:cs="Arial"/>
        </w:rPr>
        <w:t xml:space="preserve"> ensure that there is enough data to provide design information for future program developments.   </w:t>
      </w:r>
    </w:p>
    <w:p w14:paraId="15BEE2A4" w14:textId="506AD321" w:rsidR="00D80F06" w:rsidRDefault="00885FDA" w:rsidP="001137B0">
      <w:pPr>
        <w:spacing w:after="200" w:line="480" w:lineRule="auto"/>
        <w:rPr>
          <w:rFonts w:ascii="Arial" w:eastAsia="Arial" w:hAnsi="Arial" w:cs="Arial"/>
        </w:rPr>
      </w:pPr>
      <w:r>
        <w:rPr>
          <w:rFonts w:ascii="Arial" w:eastAsia="Arial" w:hAnsi="Arial" w:cs="Arial"/>
        </w:rPr>
        <w:t xml:space="preserve">With the changing needs of the grid and the changes </w:t>
      </w:r>
      <w:r w:rsidR="004E456B">
        <w:rPr>
          <w:rFonts w:ascii="Arial" w:eastAsia="Arial" w:hAnsi="Arial" w:cs="Arial"/>
        </w:rPr>
        <w:t>to</w:t>
      </w:r>
      <w:r>
        <w:rPr>
          <w:rFonts w:ascii="Arial" w:eastAsia="Arial" w:hAnsi="Arial" w:cs="Arial"/>
        </w:rPr>
        <w:t xml:space="preserve"> DR</w:t>
      </w:r>
      <w:r w:rsidR="004E456B">
        <w:rPr>
          <w:rFonts w:ascii="Arial" w:eastAsia="Arial" w:hAnsi="Arial" w:cs="Arial"/>
        </w:rPr>
        <w:t>’s role</w:t>
      </w:r>
      <w:r>
        <w:rPr>
          <w:rFonts w:ascii="Arial" w:eastAsia="Arial" w:hAnsi="Arial" w:cs="Arial"/>
        </w:rPr>
        <w:t xml:space="preserve">, coupled with lower cost of automated technology, </w:t>
      </w:r>
      <w:r w:rsidR="004E456B">
        <w:rPr>
          <w:rFonts w:ascii="Arial" w:eastAsia="Arial" w:hAnsi="Arial" w:cs="Arial"/>
        </w:rPr>
        <w:t>the</w:t>
      </w:r>
      <w:r>
        <w:rPr>
          <w:rFonts w:ascii="Arial" w:eastAsia="Arial" w:hAnsi="Arial" w:cs="Arial"/>
        </w:rPr>
        <w:t xml:space="preserve"> opportunity to benefit the grid while providing both economic and health benefits to those in Disadvantaged Communities</w:t>
      </w:r>
      <w:r w:rsidR="004E456B">
        <w:rPr>
          <w:rFonts w:ascii="Arial" w:eastAsia="Arial" w:hAnsi="Arial" w:cs="Arial"/>
        </w:rPr>
        <w:t xml:space="preserve"> is great</w:t>
      </w:r>
      <w:r>
        <w:rPr>
          <w:rFonts w:ascii="Arial" w:eastAsia="Arial" w:hAnsi="Arial" w:cs="Arial"/>
        </w:rPr>
        <w:t xml:space="preserve">. In a recent study, LBNL identified a potential of 6 Gigawatts of DR in California by 2025 </w:t>
      </w:r>
      <w:r>
        <w:rPr>
          <w:rFonts w:ascii="Arial" w:eastAsia="Arial" w:hAnsi="Arial" w:cs="Arial"/>
        </w:rPr>
        <w:lastRenderedPageBreak/>
        <w:t>based on continued progress in policy and technology improvements and incorporation.</w:t>
      </w:r>
      <w:r>
        <w:rPr>
          <w:rFonts w:ascii="Arial" w:eastAsia="Arial" w:hAnsi="Arial" w:cs="Arial"/>
          <w:vertAlign w:val="superscript"/>
        </w:rPr>
        <w:footnoteReference w:id="2"/>
      </w:r>
      <w:r>
        <w:rPr>
          <w:rFonts w:ascii="Arial" w:eastAsia="Arial" w:hAnsi="Arial" w:cs="Arial"/>
        </w:rPr>
        <w:t xml:space="preserve"> This potential can only be achieved by bringing DR into the various community types within California. The opportunity exists to allow consumers in Disadvantaged Communities to actively engage and shift their load, as well as reducing load; the key point is that their load can be a </w:t>
      </w:r>
      <w:proofErr w:type="spellStart"/>
      <w:r>
        <w:rPr>
          <w:rFonts w:ascii="Arial" w:eastAsia="Arial" w:hAnsi="Arial" w:cs="Arial"/>
        </w:rPr>
        <w:t>monetizable</w:t>
      </w:r>
      <w:proofErr w:type="spellEnd"/>
      <w:r>
        <w:rPr>
          <w:rFonts w:ascii="Arial" w:eastAsia="Arial" w:hAnsi="Arial" w:cs="Arial"/>
        </w:rPr>
        <w:t xml:space="preserve"> asset.  Many of these residents and</w:t>
      </w:r>
      <w:r w:rsidR="0041352E">
        <w:rPr>
          <w:rFonts w:ascii="Arial" w:eastAsia="Arial" w:hAnsi="Arial" w:cs="Arial"/>
        </w:rPr>
        <w:t xml:space="preserve"> the</w:t>
      </w:r>
      <w:r>
        <w:rPr>
          <w:rFonts w:ascii="Arial" w:eastAsia="Arial" w:hAnsi="Arial" w:cs="Arial"/>
        </w:rPr>
        <w:t xml:space="preserve"> small businesses that fuel growth in</w:t>
      </w:r>
      <w:r w:rsidR="004E456B">
        <w:rPr>
          <w:rFonts w:ascii="Arial" w:eastAsia="Arial" w:hAnsi="Arial" w:cs="Arial"/>
        </w:rPr>
        <w:t xml:space="preserve"> </w:t>
      </w:r>
      <w:r>
        <w:rPr>
          <w:rFonts w:ascii="Arial" w:eastAsia="Arial" w:hAnsi="Arial" w:cs="Arial"/>
        </w:rPr>
        <w:t>these communities may not have access to internet connectivity</w:t>
      </w:r>
      <w:r w:rsidR="004E456B">
        <w:rPr>
          <w:rFonts w:ascii="Arial" w:eastAsia="Arial" w:hAnsi="Arial" w:cs="Arial"/>
        </w:rPr>
        <w:t>, however</w:t>
      </w:r>
      <w:r>
        <w:rPr>
          <w:rFonts w:ascii="Arial" w:eastAsia="Arial" w:hAnsi="Arial" w:cs="Arial"/>
        </w:rPr>
        <w:t xml:space="preserve">; these pilots could enable additional ways to close the digital divide and fill in education gaps.  </w:t>
      </w:r>
    </w:p>
    <w:p w14:paraId="1E951F7C" w14:textId="77777777" w:rsidR="00D80F06" w:rsidRDefault="00D80F06">
      <w:pPr>
        <w:spacing w:after="200" w:line="276" w:lineRule="auto"/>
        <w:ind w:left="1080"/>
        <w:rPr>
          <w:rFonts w:ascii="Arial" w:eastAsia="Arial" w:hAnsi="Arial" w:cs="Arial"/>
          <w:color w:val="365F91"/>
        </w:rPr>
      </w:pPr>
    </w:p>
    <w:p w14:paraId="59E58FDE" w14:textId="77777777" w:rsidR="00D80F06" w:rsidRDefault="00885FDA">
      <w:pPr>
        <w:numPr>
          <w:ilvl w:val="1"/>
          <w:numId w:val="4"/>
        </w:numPr>
        <w:rPr>
          <w:color w:val="365F91"/>
        </w:rPr>
      </w:pPr>
      <w:r>
        <w:rPr>
          <w:rFonts w:ascii="Arial" w:eastAsia="Arial" w:hAnsi="Arial" w:cs="Arial"/>
          <w:color w:val="365F91"/>
        </w:rPr>
        <w:t>What if any additional data is needed to inform the structure of the pilots?</w:t>
      </w:r>
    </w:p>
    <w:p w14:paraId="56CD1DD9" w14:textId="77777777" w:rsidR="00D80F06" w:rsidRDefault="00D80F06">
      <w:pPr>
        <w:ind w:left="720"/>
        <w:rPr>
          <w:rFonts w:ascii="Arial" w:eastAsia="Arial" w:hAnsi="Arial" w:cs="Arial"/>
          <w:color w:val="365F91"/>
        </w:rPr>
      </w:pPr>
    </w:p>
    <w:p w14:paraId="15FF04BF" w14:textId="79D1CD9C" w:rsidR="00D80F06" w:rsidRDefault="00305EC2" w:rsidP="001137B0">
      <w:pPr>
        <w:spacing w:after="200" w:line="480" w:lineRule="auto"/>
        <w:rPr>
          <w:rFonts w:ascii="Arial" w:eastAsia="Arial" w:hAnsi="Arial" w:cs="Arial"/>
        </w:rPr>
      </w:pPr>
      <w:proofErr w:type="gramStart"/>
      <w:r>
        <w:rPr>
          <w:rFonts w:ascii="Arial" w:eastAsia="Arial" w:hAnsi="Arial" w:cs="Arial"/>
        </w:rPr>
        <w:t>M</w:t>
      </w:r>
      <w:r w:rsidR="00885FDA">
        <w:rPr>
          <w:rFonts w:ascii="Arial" w:eastAsia="Arial" w:hAnsi="Arial" w:cs="Arial"/>
        </w:rPr>
        <w:t>ore work needs to be done to understand the patterns of energy use, including the ability of residents and small to medium businesses in Disadvantaged Communities to load shift.</w:t>
      </w:r>
      <w:proofErr w:type="gramEnd"/>
      <w:r w:rsidR="00885FDA">
        <w:rPr>
          <w:rFonts w:ascii="Arial" w:eastAsia="Arial" w:hAnsi="Arial" w:cs="Arial"/>
        </w:rPr>
        <w:t xml:space="preserve"> Without this understanding, program design may rel</w:t>
      </w:r>
      <w:r>
        <w:rPr>
          <w:rFonts w:ascii="Arial" w:eastAsia="Arial" w:hAnsi="Arial" w:cs="Arial"/>
        </w:rPr>
        <w:t>y</w:t>
      </w:r>
      <w:r w:rsidR="00885FDA">
        <w:rPr>
          <w:rFonts w:ascii="Arial" w:eastAsia="Arial" w:hAnsi="Arial" w:cs="Arial"/>
        </w:rPr>
        <w:t xml:space="preserve"> on faulty assumptions that don’t hold true in the community (for example, determining the ability of residents to shift load, or the feasibility of installing smart thermostats). Any proposed pilot should include an evaluation component designed to determine the participation rates of community members in the program as well as a detailed description of successful outreach and enrollment methods. The proposed pilots should also outline the types and approximate intended levels of economic benefits to be received by the communities’ residents and incorporate an evaluation of how well the pilot achieved such targets.  The pilots should include a full challenges and barriers assessment with </w:t>
      </w:r>
      <w:r w:rsidR="00885FDA">
        <w:rPr>
          <w:rFonts w:ascii="Arial" w:eastAsia="Arial" w:hAnsi="Arial" w:cs="Arial"/>
        </w:rPr>
        <w:lastRenderedPageBreak/>
        <w:t>clear recommendations to enable the achievement of economic benefits and the level of participation required to adequately achieve them.</w:t>
      </w:r>
    </w:p>
    <w:p w14:paraId="7365D0FA" w14:textId="77777777" w:rsidR="00D80F06" w:rsidRDefault="00D80F06">
      <w:pPr>
        <w:ind w:left="720"/>
        <w:rPr>
          <w:rFonts w:ascii="Arial" w:eastAsia="Arial" w:hAnsi="Arial" w:cs="Arial"/>
          <w:color w:val="365F91"/>
        </w:rPr>
      </w:pPr>
    </w:p>
    <w:p w14:paraId="240EEC80" w14:textId="77777777" w:rsidR="00D80F06" w:rsidRDefault="00885FDA">
      <w:pPr>
        <w:numPr>
          <w:ilvl w:val="0"/>
          <w:numId w:val="2"/>
        </w:numPr>
        <w:rPr>
          <w:rFonts w:ascii="Arial" w:eastAsia="Arial" w:hAnsi="Arial" w:cs="Arial"/>
          <w:color w:val="365F91"/>
        </w:rPr>
      </w:pPr>
      <w:r>
        <w:rPr>
          <w:rFonts w:ascii="Arial" w:eastAsia="Arial" w:hAnsi="Arial" w:cs="Arial"/>
          <w:color w:val="365F91"/>
          <w:u w:val="single"/>
        </w:rPr>
        <w:t>Regarding location</w:t>
      </w:r>
      <w:r>
        <w:rPr>
          <w:rFonts w:ascii="Arial" w:eastAsia="Arial" w:hAnsi="Arial" w:cs="Arial"/>
          <w:color w:val="365F91"/>
        </w:rPr>
        <w:t xml:space="preserve">: </w:t>
      </w:r>
    </w:p>
    <w:p w14:paraId="6B93B0B5" w14:textId="77777777" w:rsidR="00D80F06" w:rsidRDefault="00885FDA">
      <w:pPr>
        <w:numPr>
          <w:ilvl w:val="1"/>
          <w:numId w:val="4"/>
        </w:numPr>
        <w:rPr>
          <w:color w:val="365F91"/>
        </w:rPr>
      </w:pPr>
      <w:r>
        <w:rPr>
          <w:rFonts w:ascii="Arial" w:eastAsia="Arial" w:hAnsi="Arial" w:cs="Arial"/>
          <w:color w:val="365F91"/>
        </w:rPr>
        <w:t xml:space="preserve">Which geographic area or community should these pilots target in each IOU service territory? </w:t>
      </w:r>
    </w:p>
    <w:p w14:paraId="1BEEF12A" w14:textId="77777777" w:rsidR="00D80F06" w:rsidRDefault="00D80F06">
      <w:pPr>
        <w:spacing w:after="200" w:line="276" w:lineRule="auto"/>
        <w:rPr>
          <w:rFonts w:ascii="Arial" w:eastAsia="Arial" w:hAnsi="Arial" w:cs="Arial"/>
        </w:rPr>
      </w:pPr>
    </w:p>
    <w:p w14:paraId="38A690D4" w14:textId="58A1902D" w:rsidR="00D80F06" w:rsidRDefault="00885FDA" w:rsidP="001137B0">
      <w:pPr>
        <w:spacing w:after="200" w:line="480" w:lineRule="auto"/>
        <w:rPr>
          <w:rFonts w:ascii="Calibri" w:eastAsia="Calibri" w:hAnsi="Calibri" w:cs="Calibri"/>
          <w:sz w:val="22"/>
          <w:szCs w:val="22"/>
        </w:rPr>
      </w:pPr>
      <w:r w:rsidRPr="001137B0">
        <w:rPr>
          <w:rFonts w:ascii="Arial" w:eastAsia="Arial" w:hAnsi="Arial" w:cs="Arial"/>
        </w:rPr>
        <w:t xml:space="preserve">With the number of Disadvantaged Communities in California and the </w:t>
      </w:r>
      <w:r>
        <w:rPr>
          <w:rFonts w:ascii="Arial" w:eastAsia="Arial" w:hAnsi="Arial" w:cs="Arial"/>
        </w:rPr>
        <w:t xml:space="preserve">variety of issues and capabilities within each community, Olivine believes it’s important to focus these pilots in an area that would provide both a sustainable economic benefit to the community as well as provide grid benefit for the broader set of ratepayers. </w:t>
      </w:r>
      <w:r>
        <w:rPr>
          <w:rFonts w:ascii="Calibri" w:eastAsia="Calibri" w:hAnsi="Calibri" w:cs="Calibri"/>
          <w:sz w:val="22"/>
          <w:szCs w:val="22"/>
        </w:rPr>
        <w:t xml:space="preserve"> </w:t>
      </w:r>
    </w:p>
    <w:p w14:paraId="7DBA300B" w14:textId="4924EDF5" w:rsidR="00D80F06" w:rsidRDefault="00885FDA" w:rsidP="001137B0">
      <w:pPr>
        <w:spacing w:after="200" w:line="480" w:lineRule="auto"/>
        <w:rPr>
          <w:rFonts w:ascii="Arial" w:eastAsia="Arial" w:hAnsi="Arial" w:cs="Arial"/>
          <w:color w:val="222222"/>
        </w:rPr>
      </w:pPr>
      <w:r>
        <w:rPr>
          <w:rFonts w:ascii="Arial" w:eastAsia="Arial" w:hAnsi="Arial" w:cs="Arial"/>
        </w:rPr>
        <w:t xml:space="preserve">For each IOU territory, we developed a methodology for selecting candidate locations for the pilots. </w:t>
      </w:r>
    </w:p>
    <w:p w14:paraId="1ABE3C47" w14:textId="5B278833" w:rsidR="00D80F06" w:rsidRDefault="00885FDA" w:rsidP="001137B0">
      <w:pPr>
        <w:shd w:val="clear" w:color="auto" w:fill="FFFFFF"/>
        <w:spacing w:line="480" w:lineRule="auto"/>
        <w:rPr>
          <w:rFonts w:ascii="Arial" w:eastAsia="Arial" w:hAnsi="Arial" w:cs="Arial"/>
          <w:color w:val="222222"/>
        </w:rPr>
      </w:pPr>
      <w:r>
        <w:rPr>
          <w:rFonts w:ascii="Arial" w:eastAsia="Arial" w:hAnsi="Arial" w:cs="Arial"/>
          <w:color w:val="222222"/>
        </w:rPr>
        <w:t xml:space="preserve">First, we concentrated on locating communities/cities with any Disadvantaged Communities (DACs) in as close proximity as possible to gas </w:t>
      </w:r>
      <w:proofErr w:type="spellStart"/>
      <w:r>
        <w:rPr>
          <w:rFonts w:ascii="Arial" w:eastAsia="Arial" w:hAnsi="Arial" w:cs="Arial"/>
          <w:color w:val="222222"/>
        </w:rPr>
        <w:t>peaker</w:t>
      </w:r>
      <w:proofErr w:type="spellEnd"/>
      <w:r>
        <w:rPr>
          <w:rFonts w:ascii="Arial" w:eastAsia="Arial" w:hAnsi="Arial" w:cs="Arial"/>
          <w:color w:val="222222"/>
        </w:rPr>
        <w:t xml:space="preserve"> plants (~ 20-30 miles) located inside LCAs. The language of the straw proposal suggests that communities located nearby </w:t>
      </w:r>
      <w:proofErr w:type="spellStart"/>
      <w:r>
        <w:rPr>
          <w:rFonts w:ascii="Arial" w:eastAsia="Arial" w:hAnsi="Arial" w:cs="Arial"/>
          <w:color w:val="222222"/>
        </w:rPr>
        <w:t>peaker</w:t>
      </w:r>
      <w:proofErr w:type="spellEnd"/>
      <w:r>
        <w:rPr>
          <w:rFonts w:ascii="Arial" w:eastAsia="Arial" w:hAnsi="Arial" w:cs="Arial"/>
          <w:color w:val="222222"/>
        </w:rPr>
        <w:t xml:space="preserve"> plants are most heavily affected by plant emissions and so would potentially receive the greatest environmental and health benefits from reduction of plant emissions.</w:t>
      </w:r>
    </w:p>
    <w:p w14:paraId="16A0F667" w14:textId="77777777" w:rsidR="001137B0" w:rsidRDefault="001137B0" w:rsidP="001137B0">
      <w:pPr>
        <w:shd w:val="clear" w:color="auto" w:fill="FFFFFF"/>
        <w:spacing w:line="480" w:lineRule="auto"/>
        <w:rPr>
          <w:rFonts w:ascii="Arial" w:eastAsia="Arial" w:hAnsi="Arial" w:cs="Arial"/>
          <w:color w:val="222222"/>
        </w:rPr>
      </w:pPr>
    </w:p>
    <w:p w14:paraId="1FD157FB" w14:textId="4DDD1E0A" w:rsidR="00D80F06" w:rsidRDefault="00885FDA" w:rsidP="001137B0">
      <w:pPr>
        <w:shd w:val="clear" w:color="auto" w:fill="FFFFFF"/>
        <w:spacing w:line="480" w:lineRule="auto"/>
        <w:rPr>
          <w:rFonts w:ascii="Arial" w:eastAsia="Arial" w:hAnsi="Arial" w:cs="Arial"/>
          <w:color w:val="222222"/>
        </w:rPr>
      </w:pPr>
      <w:r>
        <w:rPr>
          <w:rFonts w:ascii="Arial" w:eastAsia="Arial" w:hAnsi="Arial" w:cs="Arial"/>
          <w:color w:val="222222"/>
        </w:rPr>
        <w:t xml:space="preserve">Out of this initial set, we then selected all the communities with a large coverage of DACs. The rationale was to identify cities or communities which had a greater proportion of census tracts designated as DACs. A large coverage of census tracts </w:t>
      </w:r>
      <w:r>
        <w:rPr>
          <w:rFonts w:ascii="Arial" w:eastAsia="Arial" w:hAnsi="Arial" w:cs="Arial"/>
          <w:color w:val="222222"/>
        </w:rPr>
        <w:lastRenderedPageBreak/>
        <w:t>designated as a Disadvantaged Community suggests communities that are truly disadvantaged.</w:t>
      </w:r>
    </w:p>
    <w:p w14:paraId="3D29007D" w14:textId="77777777" w:rsidR="00D80F06" w:rsidRDefault="00885FDA" w:rsidP="001137B0">
      <w:pPr>
        <w:shd w:val="clear" w:color="auto" w:fill="FFFFFF"/>
        <w:spacing w:line="480" w:lineRule="auto"/>
        <w:rPr>
          <w:rFonts w:ascii="Arial" w:eastAsia="Arial" w:hAnsi="Arial" w:cs="Arial"/>
          <w:color w:val="222222"/>
        </w:rPr>
      </w:pPr>
      <w:r>
        <w:rPr>
          <w:rFonts w:ascii="Arial" w:eastAsia="Arial" w:hAnsi="Arial" w:cs="Arial"/>
          <w:color w:val="222222"/>
        </w:rPr>
        <w:t>This final set of communities was ranked based on measures of both poverty and pollution burden rankings </w:t>
      </w:r>
      <w:r>
        <w:rPr>
          <w:rFonts w:ascii="Arial" w:eastAsia="Arial" w:hAnsi="Arial" w:cs="Arial"/>
          <w:color w:val="222222"/>
          <w:highlight w:val="white"/>
        </w:rPr>
        <w:t>from the Cal Enviro Screen data</w:t>
      </w:r>
      <w:r>
        <w:rPr>
          <w:rFonts w:ascii="Arial" w:eastAsia="Arial" w:hAnsi="Arial" w:cs="Arial"/>
          <w:color w:val="222222"/>
        </w:rPr>
        <w:t>. Choosing communities with demonstrated highest need in both areas could potentially experience greater benefits, relative to other candidate DACs.</w:t>
      </w:r>
    </w:p>
    <w:p w14:paraId="6904A01D" w14:textId="77777777" w:rsidR="00D80F06" w:rsidRDefault="00885FDA" w:rsidP="001137B0">
      <w:pPr>
        <w:shd w:val="clear" w:color="auto" w:fill="FFFFFF"/>
        <w:spacing w:line="480" w:lineRule="auto"/>
        <w:rPr>
          <w:rFonts w:ascii="Arial" w:eastAsia="Arial" w:hAnsi="Arial" w:cs="Arial"/>
          <w:color w:val="222222"/>
        </w:rPr>
      </w:pPr>
      <w:r>
        <w:rPr>
          <w:rFonts w:ascii="Arial" w:eastAsia="Arial" w:hAnsi="Arial" w:cs="Arial"/>
          <w:color w:val="222222"/>
        </w:rPr>
        <w:t>We further examined communities located within the counties with the worst air quality in California using EPA AQI measures.</w:t>
      </w:r>
      <w:r>
        <w:rPr>
          <w:rFonts w:ascii="Arial" w:eastAsia="Arial" w:hAnsi="Arial" w:cs="Arial"/>
          <w:color w:val="222222"/>
          <w:vertAlign w:val="superscript"/>
        </w:rPr>
        <w:footnoteReference w:id="3"/>
      </w:r>
    </w:p>
    <w:p w14:paraId="717F572B" w14:textId="77777777" w:rsidR="00D80F06" w:rsidRDefault="00D80F06">
      <w:pPr>
        <w:shd w:val="clear" w:color="auto" w:fill="FFFFFF"/>
        <w:rPr>
          <w:rFonts w:ascii="Arial" w:eastAsia="Arial" w:hAnsi="Arial" w:cs="Arial"/>
          <w:color w:val="222222"/>
        </w:rPr>
      </w:pPr>
    </w:p>
    <w:p w14:paraId="3D3FF645" w14:textId="77777777" w:rsidR="00D80F06" w:rsidRDefault="00885FDA">
      <w:pPr>
        <w:shd w:val="clear" w:color="auto" w:fill="FFFFFF"/>
        <w:rPr>
          <w:rFonts w:ascii="Arial" w:eastAsia="Arial" w:hAnsi="Arial" w:cs="Arial"/>
          <w:color w:val="222222"/>
        </w:rPr>
      </w:pPr>
      <w:r>
        <w:rPr>
          <w:rFonts w:ascii="Arial" w:eastAsia="Arial" w:hAnsi="Arial" w:cs="Arial"/>
          <w:color w:val="222222"/>
        </w:rPr>
        <w:t>This approach pointed to the following candidate locations inside each IOU territory:</w:t>
      </w:r>
    </w:p>
    <w:p w14:paraId="59D79366" w14:textId="77777777" w:rsidR="00D80F06" w:rsidRDefault="00D80F06">
      <w:pPr>
        <w:shd w:val="clear" w:color="auto" w:fill="FFFFFF"/>
        <w:rPr>
          <w:rFonts w:ascii="Arial" w:eastAsia="Arial" w:hAnsi="Arial" w:cs="Arial"/>
          <w:color w:val="222222"/>
        </w:rPr>
      </w:pPr>
    </w:p>
    <w:p w14:paraId="3E3EA432" w14:textId="77777777" w:rsidR="00D80F06" w:rsidRDefault="00885FDA">
      <w:pPr>
        <w:shd w:val="clear" w:color="auto" w:fill="FFFFFF"/>
        <w:rPr>
          <w:rFonts w:ascii="Arial" w:eastAsia="Arial" w:hAnsi="Arial" w:cs="Arial"/>
          <w:color w:val="222222"/>
        </w:rPr>
      </w:pPr>
      <w:r>
        <w:rPr>
          <w:rFonts w:ascii="Arial" w:eastAsia="Arial" w:hAnsi="Arial" w:cs="Arial"/>
          <w:color w:val="222222"/>
        </w:rPr>
        <w:t xml:space="preserve">PG&amp;E:    </w:t>
      </w:r>
      <w:r>
        <w:rPr>
          <w:rFonts w:ascii="Arial" w:eastAsia="Arial" w:hAnsi="Arial" w:cs="Arial"/>
          <w:color w:val="222222"/>
        </w:rPr>
        <w:tab/>
        <w:t>Huron, Selma, Fresno</w:t>
      </w:r>
    </w:p>
    <w:p w14:paraId="042DDA79" w14:textId="77777777" w:rsidR="00D80F06" w:rsidRDefault="00D80F06">
      <w:pPr>
        <w:shd w:val="clear" w:color="auto" w:fill="FFFFFF"/>
        <w:rPr>
          <w:rFonts w:ascii="Arial" w:eastAsia="Arial" w:hAnsi="Arial" w:cs="Arial"/>
          <w:color w:val="222222"/>
        </w:rPr>
      </w:pPr>
    </w:p>
    <w:p w14:paraId="6E23124B" w14:textId="77777777" w:rsidR="00D80F06" w:rsidRDefault="00885FDA">
      <w:pPr>
        <w:shd w:val="clear" w:color="auto" w:fill="FFFFFF"/>
        <w:rPr>
          <w:rFonts w:ascii="Arial" w:eastAsia="Arial" w:hAnsi="Arial" w:cs="Arial"/>
          <w:color w:val="222222"/>
        </w:rPr>
      </w:pPr>
      <w:r>
        <w:rPr>
          <w:rFonts w:ascii="Arial" w:eastAsia="Arial" w:hAnsi="Arial" w:cs="Arial"/>
          <w:color w:val="222222"/>
        </w:rPr>
        <w:t>SCE:</w:t>
      </w:r>
      <w:r>
        <w:rPr>
          <w:rFonts w:ascii="Arial" w:eastAsia="Arial" w:hAnsi="Arial" w:cs="Arial"/>
          <w:color w:val="222222"/>
        </w:rPr>
        <w:tab/>
      </w:r>
      <w:r>
        <w:rPr>
          <w:rFonts w:ascii="Arial" w:eastAsia="Arial" w:hAnsi="Arial" w:cs="Arial"/>
          <w:color w:val="222222"/>
        </w:rPr>
        <w:tab/>
        <w:t>Colton, San Bernardino, La Puente</w:t>
      </w:r>
    </w:p>
    <w:p w14:paraId="5281CC3E" w14:textId="77777777" w:rsidR="00D80F06" w:rsidRDefault="00D80F06">
      <w:pPr>
        <w:shd w:val="clear" w:color="auto" w:fill="FFFFFF"/>
        <w:rPr>
          <w:rFonts w:ascii="Arial" w:eastAsia="Arial" w:hAnsi="Arial" w:cs="Arial"/>
          <w:color w:val="222222"/>
        </w:rPr>
      </w:pPr>
    </w:p>
    <w:p w14:paraId="5885503F" w14:textId="77777777" w:rsidR="00D80F06" w:rsidRDefault="00885FDA">
      <w:pPr>
        <w:shd w:val="clear" w:color="auto" w:fill="FFFFFF"/>
        <w:rPr>
          <w:rFonts w:ascii="Arial" w:eastAsia="Arial" w:hAnsi="Arial" w:cs="Arial"/>
          <w:color w:val="222222"/>
        </w:rPr>
      </w:pPr>
      <w:r>
        <w:rPr>
          <w:rFonts w:ascii="Arial" w:eastAsia="Arial" w:hAnsi="Arial" w:cs="Arial"/>
          <w:color w:val="222222"/>
        </w:rPr>
        <w:t xml:space="preserve">SDG&amp;E:  </w:t>
      </w:r>
      <w:r>
        <w:rPr>
          <w:rFonts w:ascii="Arial" w:eastAsia="Arial" w:hAnsi="Arial" w:cs="Arial"/>
          <w:color w:val="222222"/>
        </w:rPr>
        <w:tab/>
        <w:t>Chula Vista, National City</w:t>
      </w:r>
    </w:p>
    <w:p w14:paraId="0D64660B" w14:textId="77777777" w:rsidR="00D80F06" w:rsidRDefault="00D80F06">
      <w:pPr>
        <w:shd w:val="clear" w:color="auto" w:fill="FFFFFF"/>
        <w:rPr>
          <w:rFonts w:ascii="Arial" w:eastAsia="Arial" w:hAnsi="Arial" w:cs="Arial"/>
          <w:color w:val="222222"/>
        </w:rPr>
      </w:pPr>
    </w:p>
    <w:p w14:paraId="5FAB6FB6" w14:textId="77777777" w:rsidR="00D80F06" w:rsidRDefault="00885FDA" w:rsidP="001137B0">
      <w:pPr>
        <w:shd w:val="clear" w:color="auto" w:fill="FFFFFF"/>
        <w:spacing w:line="480" w:lineRule="auto"/>
        <w:rPr>
          <w:rFonts w:ascii="Arial" w:eastAsia="Arial" w:hAnsi="Arial" w:cs="Arial"/>
          <w:color w:val="222222"/>
        </w:rPr>
      </w:pPr>
      <w:r>
        <w:rPr>
          <w:rFonts w:ascii="Arial" w:eastAsia="Arial" w:hAnsi="Arial" w:cs="Arial"/>
          <w:color w:val="222222"/>
        </w:rPr>
        <w:t xml:space="preserve">This is an initial strategy for selecting site locations. Other factors not present in the raw data will also likely play a large part in selection, such as presence and availability of existing energy solution programs in communities, </w:t>
      </w:r>
      <w:proofErr w:type="spellStart"/>
      <w:proofErr w:type="gramStart"/>
      <w:r>
        <w:rPr>
          <w:rFonts w:ascii="Arial" w:eastAsia="Arial" w:hAnsi="Arial" w:cs="Arial"/>
          <w:color w:val="222222"/>
        </w:rPr>
        <w:t>etc</w:t>
      </w:r>
      <w:proofErr w:type="spellEnd"/>
      <w:r>
        <w:rPr>
          <w:rFonts w:ascii="Arial" w:eastAsia="Arial" w:hAnsi="Arial" w:cs="Arial"/>
          <w:color w:val="222222"/>
        </w:rPr>
        <w:t xml:space="preserve"> .</w:t>
      </w:r>
      <w:proofErr w:type="gramEnd"/>
      <w:r>
        <w:rPr>
          <w:rFonts w:ascii="Arial" w:eastAsia="Arial" w:hAnsi="Arial" w:cs="Arial"/>
          <w:color w:val="222222"/>
        </w:rPr>
        <w:t xml:space="preserve"> However, we believe that it is necessary to use the data made available to us by </w:t>
      </w:r>
      <w:proofErr w:type="spellStart"/>
      <w:r>
        <w:rPr>
          <w:rFonts w:ascii="Arial" w:eastAsia="Arial" w:hAnsi="Arial" w:cs="Arial"/>
          <w:color w:val="222222"/>
        </w:rPr>
        <w:t>CalEnviroScreen</w:t>
      </w:r>
      <w:proofErr w:type="spellEnd"/>
      <w:r>
        <w:rPr>
          <w:rFonts w:ascii="Arial" w:eastAsia="Arial" w:hAnsi="Arial" w:cs="Arial"/>
          <w:color w:val="222222"/>
        </w:rPr>
        <w:t xml:space="preserve"> to find those communities in greatest need. </w:t>
      </w:r>
    </w:p>
    <w:p w14:paraId="4EE99067" w14:textId="77777777" w:rsidR="00D80F06" w:rsidRDefault="00D80F06" w:rsidP="001137B0">
      <w:pPr>
        <w:shd w:val="clear" w:color="auto" w:fill="FFFFFF"/>
        <w:spacing w:line="480" w:lineRule="auto"/>
        <w:rPr>
          <w:rFonts w:ascii="Arial" w:eastAsia="Arial" w:hAnsi="Arial" w:cs="Arial"/>
          <w:color w:val="222222"/>
        </w:rPr>
      </w:pPr>
    </w:p>
    <w:p w14:paraId="71559FD9" w14:textId="77777777" w:rsidR="00D80F06" w:rsidRDefault="00885FDA" w:rsidP="001137B0">
      <w:pPr>
        <w:shd w:val="clear" w:color="auto" w:fill="FFFFFF"/>
        <w:spacing w:line="480" w:lineRule="auto"/>
        <w:rPr>
          <w:rFonts w:ascii="Arial" w:eastAsia="Arial" w:hAnsi="Arial" w:cs="Arial"/>
          <w:color w:val="222222"/>
        </w:rPr>
      </w:pPr>
      <w:r>
        <w:rPr>
          <w:rFonts w:ascii="Arial" w:eastAsia="Arial" w:hAnsi="Arial" w:cs="Arial"/>
          <w:color w:val="222222"/>
        </w:rPr>
        <w:t>Please refer to the appendix for a data table and maps used to create this list of communities.</w:t>
      </w:r>
    </w:p>
    <w:p w14:paraId="7CE23F44" w14:textId="77777777" w:rsidR="00D80F06" w:rsidRDefault="00D80F06">
      <w:pPr>
        <w:shd w:val="clear" w:color="auto" w:fill="FFFFFF"/>
        <w:rPr>
          <w:rFonts w:ascii="Arial" w:eastAsia="Arial" w:hAnsi="Arial" w:cs="Arial"/>
          <w:color w:val="222222"/>
        </w:rPr>
      </w:pPr>
    </w:p>
    <w:p w14:paraId="0EA2023A" w14:textId="77777777" w:rsidR="00D80F06" w:rsidRDefault="00D80F06">
      <w:pPr>
        <w:shd w:val="clear" w:color="auto" w:fill="FFFFFF"/>
        <w:rPr>
          <w:rFonts w:ascii="Arial" w:eastAsia="Arial" w:hAnsi="Arial" w:cs="Arial"/>
          <w:color w:val="222222"/>
        </w:rPr>
      </w:pPr>
    </w:p>
    <w:p w14:paraId="783C1B8C" w14:textId="77777777" w:rsidR="00D80F06" w:rsidRDefault="00D80F06">
      <w:pPr>
        <w:spacing w:after="200" w:line="276" w:lineRule="auto"/>
        <w:rPr>
          <w:rFonts w:ascii="Arial" w:eastAsia="Arial" w:hAnsi="Arial" w:cs="Arial"/>
        </w:rPr>
      </w:pPr>
    </w:p>
    <w:p w14:paraId="34F9B7B5" w14:textId="77777777" w:rsidR="00D80F06" w:rsidRDefault="00885FDA">
      <w:pPr>
        <w:numPr>
          <w:ilvl w:val="1"/>
          <w:numId w:val="4"/>
        </w:numPr>
        <w:rPr>
          <w:color w:val="365F91"/>
        </w:rPr>
      </w:pPr>
      <w:r>
        <w:rPr>
          <w:rFonts w:ascii="Arial" w:eastAsia="Arial" w:hAnsi="Arial" w:cs="Arial"/>
          <w:color w:val="365F91"/>
        </w:rPr>
        <w:lastRenderedPageBreak/>
        <w:t xml:space="preserve">What is the radius of customers around that area whose actions could most impact operations or siting of gas power plants? (If you agree with the draft straw proposal, include any details on the location of disadvantaged communities based on the </w:t>
      </w:r>
      <w:proofErr w:type="spellStart"/>
      <w:r>
        <w:rPr>
          <w:rFonts w:ascii="Arial" w:eastAsia="Arial" w:hAnsi="Arial" w:cs="Arial"/>
          <w:color w:val="365F91"/>
        </w:rPr>
        <w:t>CalEnviroScreen</w:t>
      </w:r>
      <w:proofErr w:type="spellEnd"/>
      <w:r>
        <w:rPr>
          <w:rFonts w:ascii="Arial" w:eastAsia="Arial" w:hAnsi="Arial" w:cs="Arial"/>
          <w:color w:val="365F91"/>
        </w:rPr>
        <w:t xml:space="preserve"> tool, and any overlap with CAISO Local Capacity Areas, or higher polluting power plants, etc.)</w:t>
      </w:r>
    </w:p>
    <w:p w14:paraId="6B095951" w14:textId="77777777" w:rsidR="00D80F06" w:rsidRDefault="00D80F06">
      <w:pPr>
        <w:spacing w:after="200" w:line="276" w:lineRule="auto"/>
        <w:rPr>
          <w:rFonts w:ascii="Arial" w:eastAsia="Arial" w:hAnsi="Arial" w:cs="Arial"/>
        </w:rPr>
      </w:pPr>
    </w:p>
    <w:p w14:paraId="60B46BF7" w14:textId="77777777" w:rsidR="00D80F06" w:rsidRDefault="00885FDA" w:rsidP="001137B0">
      <w:pPr>
        <w:spacing w:after="200" w:line="480" w:lineRule="auto"/>
        <w:rPr>
          <w:rFonts w:ascii="Arial" w:eastAsia="Arial" w:hAnsi="Arial" w:cs="Arial"/>
        </w:rPr>
      </w:pPr>
      <w:r>
        <w:rPr>
          <w:rFonts w:ascii="Arial" w:eastAsia="Arial" w:hAnsi="Arial" w:cs="Arial"/>
        </w:rPr>
        <w:t xml:space="preserve">We agree with the methodology outlined in the straw proposal of focusing site location based on proximity to </w:t>
      </w:r>
      <w:proofErr w:type="spellStart"/>
      <w:r>
        <w:rPr>
          <w:rFonts w:ascii="Arial" w:eastAsia="Arial" w:hAnsi="Arial" w:cs="Arial"/>
        </w:rPr>
        <w:t>peaker</w:t>
      </w:r>
      <w:proofErr w:type="spellEnd"/>
      <w:r>
        <w:rPr>
          <w:rFonts w:ascii="Arial" w:eastAsia="Arial" w:hAnsi="Arial" w:cs="Arial"/>
        </w:rPr>
        <w:t xml:space="preserve"> plants within a Local Capacity Area.  For smaller cities which have only a few census tracts, such as Huron or Selma, we would recommend including all customers located within the entire city boundary. For larger cities composed of many tens of census tracts and larger populations, a subset of census tracts based on certain selection criteria is sensible.  Please see the response to question 2 for a detailed description of the methodology. </w:t>
      </w:r>
    </w:p>
    <w:p w14:paraId="049EC02C" w14:textId="77777777" w:rsidR="00D80F06" w:rsidRDefault="00885FDA" w:rsidP="001137B0">
      <w:pPr>
        <w:spacing w:after="200" w:line="480" w:lineRule="auto"/>
        <w:rPr>
          <w:rFonts w:ascii="Arial" w:eastAsia="Arial" w:hAnsi="Arial" w:cs="Arial"/>
        </w:rPr>
      </w:pPr>
      <w:r>
        <w:rPr>
          <w:rFonts w:ascii="Arial" w:eastAsia="Arial" w:hAnsi="Arial" w:cs="Arial"/>
        </w:rPr>
        <w:t>Although it may seem at first glance that locating the pilot only within communities with larger, denser populations will achieve higher levels of total impact, we believe that smaller and less densely populated communities are a key component to any work on Disadvantaged Communities. Including such communities in the pilot would help to bridge the rural/urban divide that exists within California with regards to jobs, education, and technology.</w:t>
      </w:r>
      <w:r>
        <w:rPr>
          <w:rFonts w:ascii="Arial" w:eastAsia="Arial" w:hAnsi="Arial" w:cs="Arial"/>
          <w:vertAlign w:val="superscript"/>
        </w:rPr>
        <w:footnoteReference w:id="4"/>
      </w:r>
      <w:r>
        <w:rPr>
          <w:rFonts w:ascii="Arial" w:eastAsia="Arial" w:hAnsi="Arial" w:cs="Arial"/>
        </w:rPr>
        <w:t xml:space="preserve">  </w:t>
      </w:r>
    </w:p>
    <w:p w14:paraId="593EF881" w14:textId="77777777" w:rsidR="00D80F06" w:rsidRDefault="00D80F06">
      <w:pPr>
        <w:spacing w:after="200" w:line="276" w:lineRule="auto"/>
        <w:rPr>
          <w:rFonts w:ascii="Arial" w:eastAsia="Arial" w:hAnsi="Arial" w:cs="Arial"/>
          <w:color w:val="365F91"/>
        </w:rPr>
      </w:pPr>
    </w:p>
    <w:p w14:paraId="5FD04042" w14:textId="77777777" w:rsidR="00D80F06" w:rsidRDefault="00885FDA">
      <w:pPr>
        <w:numPr>
          <w:ilvl w:val="0"/>
          <w:numId w:val="2"/>
        </w:numPr>
        <w:rPr>
          <w:rFonts w:ascii="Arial" w:eastAsia="Arial" w:hAnsi="Arial" w:cs="Arial"/>
          <w:color w:val="365F91"/>
        </w:rPr>
      </w:pPr>
      <w:r>
        <w:rPr>
          <w:rFonts w:ascii="Arial" w:eastAsia="Arial" w:hAnsi="Arial" w:cs="Arial"/>
          <w:color w:val="365F91"/>
          <w:u w:val="single"/>
        </w:rPr>
        <w:t>Strategy to test for possible largescale implementation</w:t>
      </w:r>
      <w:r>
        <w:rPr>
          <w:rFonts w:ascii="Arial" w:eastAsia="Arial" w:hAnsi="Arial" w:cs="Arial"/>
          <w:color w:val="365F91"/>
        </w:rPr>
        <w:t xml:space="preserve">: </w:t>
      </w:r>
    </w:p>
    <w:p w14:paraId="533E042F" w14:textId="77777777" w:rsidR="00D80F06" w:rsidRDefault="00885FDA">
      <w:pPr>
        <w:numPr>
          <w:ilvl w:val="1"/>
          <w:numId w:val="4"/>
        </w:numPr>
        <w:rPr>
          <w:color w:val="365F91"/>
        </w:rPr>
      </w:pPr>
      <w:r>
        <w:rPr>
          <w:rFonts w:ascii="Arial" w:eastAsia="Arial" w:hAnsi="Arial" w:cs="Arial"/>
          <w:color w:val="365F91"/>
        </w:rPr>
        <w:t xml:space="preserve">What strategy or strategies should the pilots test?(e.g. targeted marketing, special incentive structure, use of storage, new DR (increase use to avoid curtailment),) </w:t>
      </w:r>
    </w:p>
    <w:p w14:paraId="0D33619C" w14:textId="77777777" w:rsidR="00D80F06" w:rsidRDefault="00D80F06">
      <w:pPr>
        <w:spacing w:after="200" w:line="276" w:lineRule="auto"/>
        <w:rPr>
          <w:rFonts w:ascii="Arial" w:eastAsia="Arial" w:hAnsi="Arial" w:cs="Arial"/>
          <w:color w:val="365F91"/>
        </w:rPr>
      </w:pPr>
    </w:p>
    <w:p w14:paraId="07344BAF" w14:textId="2D6AF97B" w:rsidR="00D80F06" w:rsidRDefault="00885FDA" w:rsidP="001137B0">
      <w:pPr>
        <w:spacing w:after="200" w:line="480" w:lineRule="auto"/>
        <w:rPr>
          <w:rFonts w:ascii="Arial" w:eastAsia="Arial" w:hAnsi="Arial" w:cs="Arial"/>
        </w:rPr>
      </w:pPr>
      <w:r>
        <w:rPr>
          <w:rFonts w:ascii="Arial" w:eastAsia="Arial" w:hAnsi="Arial" w:cs="Arial"/>
        </w:rPr>
        <w:lastRenderedPageBreak/>
        <w:t xml:space="preserve">We propose using a combination of DR and an aggregation of grid enabled devices to </w:t>
      </w:r>
      <w:r w:rsidR="00305EC2">
        <w:rPr>
          <w:rFonts w:ascii="Arial" w:eastAsia="Arial" w:hAnsi="Arial" w:cs="Arial"/>
        </w:rPr>
        <w:t>create resources both for the grid and the Disadvantaged Community, and we recognize that the life experiences of those in the Disadvantaged Communities are and should be resources relied upon for the development of these pilots</w:t>
      </w:r>
      <w:r>
        <w:rPr>
          <w:rFonts w:ascii="Arial" w:eastAsia="Arial" w:hAnsi="Arial" w:cs="Arial"/>
        </w:rPr>
        <w:t>. This combined approach would lead to greater potential cost savings for customers. Potential pilots could test the feasibility of load shift programs and the ability of customers within DACs to participate in such programs</w:t>
      </w:r>
      <w:r w:rsidR="00305EC2">
        <w:rPr>
          <w:rFonts w:ascii="Arial" w:eastAsia="Arial" w:hAnsi="Arial" w:cs="Arial"/>
        </w:rPr>
        <w:t xml:space="preserve"> as well as testing targeted outreach methodologies for participation</w:t>
      </w:r>
      <w:r>
        <w:rPr>
          <w:rFonts w:ascii="Arial" w:eastAsia="Arial" w:hAnsi="Arial" w:cs="Arial"/>
        </w:rPr>
        <w:t>.</w:t>
      </w:r>
    </w:p>
    <w:p w14:paraId="7C4819EA" w14:textId="4B68D0E6" w:rsidR="00D80F06" w:rsidRPr="001137B0" w:rsidRDefault="00885FDA">
      <w:pPr>
        <w:numPr>
          <w:ilvl w:val="1"/>
          <w:numId w:val="4"/>
        </w:numPr>
        <w:rPr>
          <w:color w:val="365F91"/>
        </w:rPr>
      </w:pPr>
      <w:r>
        <w:rPr>
          <w:rFonts w:ascii="Arial" w:eastAsia="Arial" w:hAnsi="Arial" w:cs="Arial"/>
          <w:color w:val="365F91"/>
        </w:rPr>
        <w:t>Which customers or customer classes should the pilot target? (</w:t>
      </w:r>
      <w:proofErr w:type="gramStart"/>
      <w:r>
        <w:rPr>
          <w:rFonts w:ascii="Arial" w:eastAsia="Arial" w:hAnsi="Arial" w:cs="Arial"/>
          <w:color w:val="365F91"/>
        </w:rPr>
        <w:t>e.g</w:t>
      </w:r>
      <w:proofErr w:type="gramEnd"/>
      <w:r>
        <w:rPr>
          <w:rFonts w:ascii="Arial" w:eastAsia="Arial" w:hAnsi="Arial" w:cs="Arial"/>
          <w:color w:val="365F91"/>
        </w:rPr>
        <w:t xml:space="preserve">. residential customers, community organizations and small/medium businesses that serve the community, etc.) </w:t>
      </w:r>
    </w:p>
    <w:p w14:paraId="0F22E0F3" w14:textId="77777777" w:rsidR="001137B0" w:rsidRDefault="001137B0" w:rsidP="001137B0">
      <w:pPr>
        <w:ind w:left="1440"/>
        <w:rPr>
          <w:color w:val="365F91"/>
        </w:rPr>
      </w:pPr>
    </w:p>
    <w:p w14:paraId="75171FB0" w14:textId="77777777" w:rsidR="00D80F06" w:rsidRDefault="00885FDA" w:rsidP="001137B0">
      <w:pPr>
        <w:spacing w:after="200" w:line="480" w:lineRule="auto"/>
        <w:rPr>
          <w:rFonts w:ascii="Arial" w:eastAsia="Arial" w:hAnsi="Arial" w:cs="Arial"/>
        </w:rPr>
      </w:pPr>
      <w:r>
        <w:rPr>
          <w:rFonts w:ascii="Arial" w:eastAsia="Arial" w:hAnsi="Arial" w:cs="Arial"/>
        </w:rPr>
        <w:t>To ensure greater success and participation, targeting should encompass all stakeholders within the DAC where feasible, including residential customers, community buildings, city-owned buildings, and small to medium businesses.  Encompassing all customer classes increases the ability to create more flexible resources.</w:t>
      </w:r>
    </w:p>
    <w:p w14:paraId="72936EDB" w14:textId="77777777" w:rsidR="00D80F06" w:rsidRDefault="00885FDA">
      <w:pPr>
        <w:spacing w:after="200" w:line="276" w:lineRule="auto"/>
        <w:rPr>
          <w:rFonts w:ascii="Arial" w:eastAsia="Arial" w:hAnsi="Arial" w:cs="Arial"/>
          <w:color w:val="365F91"/>
        </w:rPr>
      </w:pPr>
      <w:r>
        <w:rPr>
          <w:rFonts w:ascii="Arial" w:eastAsia="Arial" w:hAnsi="Arial" w:cs="Arial"/>
          <w:color w:val="365F91"/>
        </w:rPr>
        <w:t>Please note if the IOUs should hire a third party to implement the pilots, including what attributes the third party should have and why.</w:t>
      </w:r>
    </w:p>
    <w:p w14:paraId="1D10C8E3" w14:textId="77777777" w:rsidR="00D80F06" w:rsidRDefault="00D80F06">
      <w:pPr>
        <w:ind w:left="1440"/>
        <w:rPr>
          <w:rFonts w:ascii="Arial" w:eastAsia="Arial" w:hAnsi="Arial" w:cs="Arial"/>
          <w:color w:val="365F91"/>
        </w:rPr>
      </w:pPr>
    </w:p>
    <w:p w14:paraId="27F773B9" w14:textId="77777777" w:rsidR="00D80F06" w:rsidRDefault="00885FDA" w:rsidP="001137B0">
      <w:pPr>
        <w:spacing w:after="200" w:line="480" w:lineRule="auto"/>
        <w:rPr>
          <w:rFonts w:ascii="Arial" w:eastAsia="Arial" w:hAnsi="Arial" w:cs="Arial"/>
        </w:rPr>
      </w:pPr>
      <w:r>
        <w:rPr>
          <w:rFonts w:ascii="Arial" w:eastAsia="Arial" w:hAnsi="Arial" w:cs="Arial"/>
        </w:rPr>
        <w:t xml:space="preserve">Third party organizations with a track record of experience and the infrastructure necessary in administering and operating successful DR and DER programs would provide a significant benefit to IOUs in implementation of this pilot. The operation of a successful DR pilot is dependent upon both knowledge and systems that are time-consuming and costly to create from whole cloth. An additional advantage would be gained if this organization also had experience operating DR programs specifically targeting low income and Disadvantaged Communities. </w:t>
      </w:r>
    </w:p>
    <w:p w14:paraId="5B1F5014" w14:textId="77777777" w:rsidR="00D80F06" w:rsidRDefault="00D80F06">
      <w:pPr>
        <w:spacing w:after="200" w:line="276" w:lineRule="auto"/>
        <w:rPr>
          <w:rFonts w:ascii="Arial" w:eastAsia="Arial" w:hAnsi="Arial" w:cs="Arial"/>
          <w:color w:val="365F91"/>
          <w:u w:val="single"/>
        </w:rPr>
      </w:pPr>
    </w:p>
    <w:p w14:paraId="5B50013B" w14:textId="77777777" w:rsidR="00D80F06" w:rsidRDefault="00885FDA">
      <w:pPr>
        <w:numPr>
          <w:ilvl w:val="0"/>
          <w:numId w:val="2"/>
        </w:numPr>
        <w:rPr>
          <w:rFonts w:ascii="Arial" w:eastAsia="Arial" w:hAnsi="Arial" w:cs="Arial"/>
          <w:color w:val="365F91"/>
        </w:rPr>
      </w:pPr>
      <w:r>
        <w:rPr>
          <w:rFonts w:ascii="Arial" w:eastAsia="Arial" w:hAnsi="Arial" w:cs="Arial"/>
          <w:color w:val="365F91"/>
          <w:u w:val="single"/>
        </w:rPr>
        <w:t>Low Income Energy Efficiency Pilots for CARE customers</w:t>
      </w:r>
      <w:r>
        <w:rPr>
          <w:rFonts w:ascii="Arial" w:eastAsia="Arial" w:hAnsi="Arial" w:cs="Arial"/>
          <w:color w:val="365F91"/>
        </w:rPr>
        <w:t>:</w:t>
      </w:r>
    </w:p>
    <w:p w14:paraId="274C18D7" w14:textId="77777777" w:rsidR="00D80F06" w:rsidRDefault="00885FDA">
      <w:pPr>
        <w:numPr>
          <w:ilvl w:val="0"/>
          <w:numId w:val="3"/>
        </w:numPr>
        <w:rPr>
          <w:color w:val="365F91"/>
        </w:rPr>
      </w:pPr>
      <w:r>
        <w:rPr>
          <w:rFonts w:ascii="Arial" w:eastAsia="Arial" w:hAnsi="Arial" w:cs="Arial"/>
          <w:color w:val="365F91"/>
        </w:rPr>
        <w:t>How would you use the $750,000 budget from the low income energy efficiency proceeding (Decision 17-12-009) in the service of the demand response pilots for disadvantaged communities given these funds must benefit CARE</w:t>
      </w:r>
      <w:r>
        <w:rPr>
          <w:rFonts w:ascii="Arial" w:eastAsia="Arial" w:hAnsi="Arial" w:cs="Arial"/>
          <w:color w:val="365F91"/>
          <w:vertAlign w:val="superscript"/>
        </w:rPr>
        <w:footnoteReference w:id="5"/>
      </w:r>
      <w:r>
        <w:rPr>
          <w:rFonts w:ascii="Arial" w:eastAsia="Arial" w:hAnsi="Arial" w:cs="Arial"/>
          <w:color w:val="365F91"/>
        </w:rPr>
        <w:t xml:space="preserve"> customers specifically? </w:t>
      </w:r>
    </w:p>
    <w:p w14:paraId="2D61B2DE" w14:textId="77777777" w:rsidR="00D80F06" w:rsidRDefault="00D80F06">
      <w:pPr>
        <w:spacing w:after="200" w:line="276" w:lineRule="auto"/>
        <w:rPr>
          <w:rFonts w:ascii="Arial" w:eastAsia="Arial" w:hAnsi="Arial" w:cs="Arial"/>
          <w:color w:val="365F91"/>
        </w:rPr>
      </w:pPr>
    </w:p>
    <w:p w14:paraId="1817C26C" w14:textId="77777777" w:rsidR="00D80F06" w:rsidRDefault="00885FDA" w:rsidP="001137B0">
      <w:pPr>
        <w:spacing w:after="200" w:line="480" w:lineRule="auto"/>
        <w:rPr>
          <w:rFonts w:ascii="Arial" w:eastAsia="Arial" w:hAnsi="Arial" w:cs="Arial"/>
        </w:rPr>
      </w:pPr>
      <w:r>
        <w:rPr>
          <w:rFonts w:ascii="Arial" w:eastAsia="Arial" w:hAnsi="Arial" w:cs="Arial"/>
        </w:rPr>
        <w:t>One possibility for a pilot would be to map CARE customers to Disadvantaged Communities and create a budget for electrician services for the installation of load monitoring and analysis devices so that customers could better understand and change their energy usage patterns.</w:t>
      </w:r>
    </w:p>
    <w:p w14:paraId="628A5F8E" w14:textId="77777777" w:rsidR="00D80F06" w:rsidRPr="001137B0" w:rsidRDefault="00885FDA" w:rsidP="001137B0">
      <w:pPr>
        <w:spacing w:line="480" w:lineRule="auto"/>
        <w:rPr>
          <w:color w:val="000000" w:themeColor="text1"/>
        </w:rPr>
      </w:pPr>
      <w:r w:rsidRPr="001137B0">
        <w:rPr>
          <w:rFonts w:ascii="Arial" w:eastAsia="Arial" w:hAnsi="Arial" w:cs="Arial"/>
          <w:color w:val="000000" w:themeColor="text1"/>
        </w:rPr>
        <w:t xml:space="preserve">CARE customers are an ideal population to be incorporated into this effort.  As of October 2015, </w:t>
      </w:r>
      <w:r w:rsidRPr="001137B0">
        <w:rPr>
          <w:rFonts w:ascii="Arial" w:eastAsia="Arial" w:hAnsi="Arial" w:cs="Arial"/>
          <w:color w:val="000000" w:themeColor="text1"/>
          <w:highlight w:val="white"/>
        </w:rPr>
        <w:t>more than 1.4 million income-eligible customers throughout Northern and Central California were enrolled in CARE. However, an estimated 14 percent of eligible customers were not signed up.</w:t>
      </w:r>
      <w:r w:rsidRPr="001137B0">
        <w:rPr>
          <w:rFonts w:ascii="Arial" w:eastAsia="Arial" w:hAnsi="Arial" w:cs="Arial"/>
          <w:color w:val="000000" w:themeColor="text1"/>
          <w:sz w:val="20"/>
          <w:szCs w:val="20"/>
          <w:highlight w:val="white"/>
          <w:vertAlign w:val="superscript"/>
        </w:rPr>
        <w:footnoteReference w:id="6"/>
      </w:r>
      <w:r w:rsidRPr="001137B0">
        <w:rPr>
          <w:rFonts w:ascii="Arial" w:eastAsia="Arial" w:hAnsi="Arial" w:cs="Arial"/>
          <w:color w:val="000000" w:themeColor="text1"/>
          <w:highlight w:val="white"/>
        </w:rPr>
        <w:t xml:space="preserve"> One goal of the pilot could be to increase awareness and participation among qualifying low-income customers located in Disadvantaged Communities of the CARE program, bringing even more economic benefit to these communities. Existing CARE customers are already familiar with an energy cost-saving program and that experience can be leveraged to enable greater DR and other energy program participation.</w:t>
      </w:r>
    </w:p>
    <w:p w14:paraId="7180BEDF" w14:textId="77777777" w:rsidR="00D80F06" w:rsidRPr="001137B0" w:rsidRDefault="00885FDA" w:rsidP="001137B0">
      <w:pPr>
        <w:spacing w:after="200" w:line="480" w:lineRule="auto"/>
        <w:rPr>
          <w:rFonts w:ascii="Arial" w:eastAsia="Arial" w:hAnsi="Arial" w:cs="Arial"/>
          <w:color w:val="000000" w:themeColor="text1"/>
        </w:rPr>
      </w:pPr>
      <w:r w:rsidRPr="001137B0">
        <w:rPr>
          <w:rFonts w:ascii="Arial" w:eastAsia="Arial" w:hAnsi="Arial" w:cs="Arial"/>
          <w:color w:val="000000" w:themeColor="text1"/>
        </w:rPr>
        <w:t>There are several immediate ideas that come to mind based in work that Olivine is currently doing:</w:t>
      </w:r>
    </w:p>
    <w:p w14:paraId="73276D9D" w14:textId="5BEFF05B" w:rsidR="00D80F06" w:rsidRPr="001137B0" w:rsidRDefault="00885FDA" w:rsidP="001137B0">
      <w:pPr>
        <w:numPr>
          <w:ilvl w:val="0"/>
          <w:numId w:val="9"/>
        </w:numPr>
        <w:spacing w:after="200" w:line="480" w:lineRule="auto"/>
        <w:rPr>
          <w:color w:val="000000" w:themeColor="text1"/>
        </w:rPr>
      </w:pPr>
      <w:r w:rsidRPr="001137B0">
        <w:rPr>
          <w:rFonts w:ascii="Arial" w:eastAsia="Arial" w:hAnsi="Arial" w:cs="Arial"/>
          <w:color w:val="000000" w:themeColor="text1"/>
        </w:rPr>
        <w:lastRenderedPageBreak/>
        <w:t xml:space="preserve">The installation of load monitoring and analysis devices that can effectively disaggregate load profiles typically requires an electrician to install especially in older homes that have not been updated. </w:t>
      </w:r>
      <w:r w:rsidR="00305EC2" w:rsidRPr="001137B0">
        <w:rPr>
          <w:rFonts w:ascii="Arial" w:eastAsia="Arial" w:hAnsi="Arial" w:cs="Arial"/>
          <w:color w:val="000000" w:themeColor="text1"/>
        </w:rPr>
        <w:t xml:space="preserve"> This could lead to an education and training apprentice electrician program in the Disadvantaged Communities. </w:t>
      </w:r>
      <w:r w:rsidRPr="001137B0">
        <w:rPr>
          <w:rFonts w:ascii="Arial" w:eastAsia="Arial" w:hAnsi="Arial" w:cs="Arial"/>
          <w:color w:val="000000" w:themeColor="text1"/>
        </w:rPr>
        <w:t xml:space="preserve"> Olivine has designed an approach with partners to enable the installation of these devices and provide the participants with access to all of their load profile information, provide tips for reducing their bills, reducing energy in real time using and supplementing the information provided by the utility.</w:t>
      </w:r>
    </w:p>
    <w:p w14:paraId="4AA522EF" w14:textId="1EE4AD6D" w:rsidR="00D80F06" w:rsidRPr="001137B0" w:rsidRDefault="00885632" w:rsidP="001137B0">
      <w:pPr>
        <w:numPr>
          <w:ilvl w:val="0"/>
          <w:numId w:val="9"/>
        </w:numPr>
        <w:spacing w:after="200" w:line="480" w:lineRule="auto"/>
        <w:rPr>
          <w:color w:val="000000" w:themeColor="text1"/>
          <w:sz w:val="22"/>
          <w:szCs w:val="22"/>
        </w:rPr>
      </w:pPr>
      <w:r w:rsidRPr="001137B0">
        <w:rPr>
          <w:rFonts w:ascii="Arial" w:eastAsia="Arial" w:hAnsi="Arial" w:cs="Arial"/>
          <w:color w:val="000000" w:themeColor="text1"/>
        </w:rPr>
        <w:t>Olivine understands that m</w:t>
      </w:r>
      <w:r w:rsidR="00885FDA" w:rsidRPr="001137B0">
        <w:rPr>
          <w:rFonts w:ascii="Arial" w:eastAsia="Arial" w:hAnsi="Arial" w:cs="Arial"/>
          <w:color w:val="000000" w:themeColor="text1"/>
        </w:rPr>
        <w:t>any CARE customers do not have ready access to the internet, limiting the value of many programmable devices.  Others don’t have an air conditioning unit or do not have smart thermostats.  Olivine’s DER Community offers a wrap-</w:t>
      </w:r>
      <w:bookmarkStart w:id="1" w:name="_gjdgxs" w:colFirst="0" w:colLast="0"/>
      <w:bookmarkEnd w:id="1"/>
      <w:r w:rsidR="00885FDA" w:rsidRPr="001137B0">
        <w:rPr>
          <w:rFonts w:ascii="Arial" w:eastAsia="Arial" w:hAnsi="Arial" w:cs="Arial"/>
          <w:color w:val="000000" w:themeColor="text1"/>
        </w:rPr>
        <w:t xml:space="preserve"> around program concept to allow monies to go to customers who meet specific eligibility requirements but with flexibility as to where they spend the monies.  We think this concept would have a huge amount of benefit to CARE customers and enable them in both EE and DR activities.</w:t>
      </w:r>
    </w:p>
    <w:p w14:paraId="3C3A1140" w14:textId="77777777" w:rsidR="00D80F06" w:rsidRDefault="00D80F06">
      <w:pPr>
        <w:spacing w:after="200" w:line="276" w:lineRule="auto"/>
        <w:rPr>
          <w:rFonts w:ascii="Arial" w:eastAsia="Arial" w:hAnsi="Arial" w:cs="Arial"/>
          <w:color w:val="365F91"/>
        </w:rPr>
      </w:pPr>
    </w:p>
    <w:p w14:paraId="1AB4A9B5" w14:textId="77777777" w:rsidR="00D80F06" w:rsidRDefault="00D80F06">
      <w:pPr>
        <w:spacing w:after="200" w:line="276" w:lineRule="auto"/>
        <w:rPr>
          <w:rFonts w:ascii="Arial" w:eastAsia="Arial" w:hAnsi="Arial" w:cs="Arial"/>
          <w:color w:val="365F91"/>
        </w:rPr>
      </w:pPr>
    </w:p>
    <w:p w14:paraId="1FDF35FC" w14:textId="77777777" w:rsidR="00D80F06" w:rsidRDefault="00885FDA">
      <w:pPr>
        <w:numPr>
          <w:ilvl w:val="0"/>
          <w:numId w:val="3"/>
        </w:numPr>
        <w:rPr>
          <w:color w:val="365F91"/>
        </w:rPr>
      </w:pPr>
      <w:r>
        <w:rPr>
          <w:rFonts w:ascii="Arial" w:eastAsia="Arial" w:hAnsi="Arial" w:cs="Arial"/>
          <w:color w:val="365F91"/>
        </w:rPr>
        <w:t>How would the pilots use CARE customer electric use profiles that detail end use loads such as air conditioning?</w:t>
      </w:r>
    </w:p>
    <w:p w14:paraId="5126C4FC" w14:textId="77777777" w:rsidR="00D80F06" w:rsidRDefault="00D80F06">
      <w:pPr>
        <w:spacing w:after="200" w:line="276" w:lineRule="auto"/>
        <w:rPr>
          <w:rFonts w:ascii="Arial" w:eastAsia="Arial" w:hAnsi="Arial" w:cs="Arial"/>
          <w:color w:val="365F91"/>
        </w:rPr>
      </w:pPr>
    </w:p>
    <w:p w14:paraId="575FD97A" w14:textId="07331CF6" w:rsidR="00D80F06" w:rsidRDefault="00885632" w:rsidP="001137B0">
      <w:pPr>
        <w:spacing w:after="200" w:line="480" w:lineRule="auto"/>
        <w:rPr>
          <w:rFonts w:ascii="Arial" w:eastAsia="Arial" w:hAnsi="Arial" w:cs="Arial"/>
          <w:color w:val="365F91"/>
        </w:rPr>
      </w:pPr>
      <w:r>
        <w:rPr>
          <w:rFonts w:ascii="Arial" w:eastAsia="Arial" w:hAnsi="Arial" w:cs="Arial"/>
        </w:rPr>
        <w:t>SCE’s chart on the number of CARE customers and penetration into the A/C cycling programs exemplifies the research that needs to</w:t>
      </w:r>
      <w:r w:rsidR="001137B0">
        <w:rPr>
          <w:rFonts w:ascii="Arial" w:eastAsia="Arial" w:hAnsi="Arial" w:cs="Arial"/>
        </w:rPr>
        <w:t xml:space="preserve"> be on particular end-uses;</w:t>
      </w:r>
      <w:r>
        <w:rPr>
          <w:rFonts w:ascii="Arial" w:eastAsia="Arial" w:hAnsi="Arial" w:cs="Arial"/>
        </w:rPr>
        <w:t xml:space="preserve"> more research on end use loads in Disadvantaged Communities should be undertaken as part of these pilots. </w:t>
      </w:r>
    </w:p>
    <w:p w14:paraId="132706AC" w14:textId="77777777" w:rsidR="00D80F06" w:rsidRDefault="00885FDA">
      <w:pPr>
        <w:numPr>
          <w:ilvl w:val="0"/>
          <w:numId w:val="3"/>
        </w:numPr>
        <w:rPr>
          <w:color w:val="365F91"/>
        </w:rPr>
      </w:pPr>
      <w:r>
        <w:rPr>
          <w:rFonts w:ascii="Arial" w:eastAsia="Arial" w:hAnsi="Arial" w:cs="Arial"/>
          <w:color w:val="365F91"/>
        </w:rPr>
        <w:lastRenderedPageBreak/>
        <w:t>How could the pilots incorporate a target group or a control group of CARE customers?</w:t>
      </w:r>
    </w:p>
    <w:p w14:paraId="5B37B6CB" w14:textId="77777777" w:rsidR="00D80F06" w:rsidRDefault="00D80F06">
      <w:pPr>
        <w:rPr>
          <w:rFonts w:ascii="Calibri" w:eastAsia="Calibri" w:hAnsi="Calibri" w:cs="Calibri"/>
          <w:sz w:val="22"/>
          <w:szCs w:val="22"/>
        </w:rPr>
      </w:pPr>
    </w:p>
    <w:p w14:paraId="036C8070" w14:textId="77777777" w:rsidR="00D80F06" w:rsidRDefault="00885FDA">
      <w:pPr>
        <w:spacing w:after="200" w:line="276" w:lineRule="auto"/>
        <w:rPr>
          <w:rFonts w:ascii="Arial" w:eastAsia="Arial" w:hAnsi="Arial" w:cs="Arial"/>
        </w:rPr>
      </w:pPr>
      <w:r>
        <w:rPr>
          <w:rFonts w:ascii="Arial" w:eastAsia="Arial" w:hAnsi="Arial" w:cs="Arial"/>
        </w:rPr>
        <w:t xml:space="preserve">See response above. </w:t>
      </w:r>
    </w:p>
    <w:p w14:paraId="7487F15F" w14:textId="77777777" w:rsidR="00D80F06" w:rsidRDefault="00D80F06">
      <w:pPr>
        <w:spacing w:after="200" w:line="276" w:lineRule="auto"/>
        <w:rPr>
          <w:rFonts w:ascii="Arial" w:eastAsia="Arial" w:hAnsi="Arial" w:cs="Arial"/>
        </w:rPr>
      </w:pPr>
    </w:p>
    <w:p w14:paraId="4B641584" w14:textId="77777777" w:rsidR="00D80F06" w:rsidRDefault="00D80F06">
      <w:pPr>
        <w:ind w:left="1080"/>
        <w:rPr>
          <w:rFonts w:ascii="Arial" w:eastAsia="Arial" w:hAnsi="Arial" w:cs="Arial"/>
        </w:rPr>
      </w:pPr>
    </w:p>
    <w:p w14:paraId="599A48C9" w14:textId="77777777" w:rsidR="00D80F06" w:rsidRDefault="00885FDA">
      <w:pPr>
        <w:numPr>
          <w:ilvl w:val="0"/>
          <w:numId w:val="8"/>
        </w:numPr>
        <w:spacing w:after="200" w:line="276" w:lineRule="auto"/>
        <w:rPr>
          <w:rFonts w:ascii="Arial" w:eastAsia="Arial" w:hAnsi="Arial" w:cs="Arial"/>
        </w:rPr>
      </w:pPr>
      <w:r>
        <w:rPr>
          <w:rFonts w:ascii="Arial" w:eastAsia="Arial" w:hAnsi="Arial" w:cs="Arial"/>
          <w:b/>
          <w:smallCaps/>
        </w:rPr>
        <w:t xml:space="preserve"> CONCLUSION</w:t>
      </w:r>
    </w:p>
    <w:p w14:paraId="0EE72D13" w14:textId="77777777" w:rsidR="00D80F06" w:rsidRDefault="00885FDA">
      <w:pPr>
        <w:spacing w:after="200" w:line="480" w:lineRule="auto"/>
        <w:ind w:firstLine="720"/>
        <w:rPr>
          <w:rFonts w:ascii="Arial" w:eastAsia="Arial" w:hAnsi="Arial" w:cs="Arial"/>
        </w:rPr>
      </w:pPr>
      <w:r>
        <w:rPr>
          <w:rFonts w:ascii="Arial" w:eastAsia="Arial" w:hAnsi="Arial" w:cs="Arial"/>
        </w:rPr>
        <w:t xml:space="preserve">Olivine appreciates this opportunity to provide informal comments and looks forward to continued engagement on these important and meaningful pilots.    </w:t>
      </w:r>
    </w:p>
    <w:p w14:paraId="55B8F483" w14:textId="77777777" w:rsidR="00D80F06" w:rsidRDefault="00D80F06">
      <w:pPr>
        <w:spacing w:after="200" w:line="480" w:lineRule="auto"/>
        <w:ind w:firstLine="720"/>
        <w:rPr>
          <w:rFonts w:ascii="Arial" w:eastAsia="Arial" w:hAnsi="Arial" w:cs="Arial"/>
        </w:rPr>
      </w:pPr>
    </w:p>
    <w:tbl>
      <w:tblPr>
        <w:tblStyle w:val="a2"/>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3528"/>
        <w:gridCol w:w="6048"/>
      </w:tblGrid>
      <w:tr w:rsidR="00D80F06" w14:paraId="2B27C775" w14:textId="77777777">
        <w:trPr>
          <w:trHeight w:val="280"/>
        </w:trPr>
        <w:tc>
          <w:tcPr>
            <w:tcW w:w="3528" w:type="dxa"/>
            <w:tcBorders>
              <w:top w:val="nil"/>
              <w:left w:val="nil"/>
              <w:bottom w:val="nil"/>
              <w:right w:val="nil"/>
            </w:tcBorders>
            <w:shd w:val="clear" w:color="auto" w:fill="auto"/>
            <w:tcMar>
              <w:top w:w="80" w:type="dxa"/>
              <w:left w:w="80" w:type="dxa"/>
              <w:bottom w:w="80" w:type="dxa"/>
              <w:right w:w="80" w:type="dxa"/>
            </w:tcMar>
          </w:tcPr>
          <w:p w14:paraId="338931CA" w14:textId="77777777" w:rsidR="00D80F06" w:rsidRDefault="00D80F06"/>
        </w:tc>
        <w:tc>
          <w:tcPr>
            <w:tcW w:w="6048" w:type="dxa"/>
            <w:tcBorders>
              <w:top w:val="nil"/>
              <w:left w:val="nil"/>
              <w:bottom w:val="nil"/>
              <w:right w:val="nil"/>
            </w:tcBorders>
            <w:shd w:val="clear" w:color="auto" w:fill="auto"/>
            <w:tcMar>
              <w:top w:w="80" w:type="dxa"/>
              <w:left w:w="80" w:type="dxa"/>
              <w:bottom w:w="80" w:type="dxa"/>
              <w:right w:w="80" w:type="dxa"/>
            </w:tcMar>
          </w:tcPr>
          <w:p w14:paraId="3147D0F3" w14:textId="77777777" w:rsidR="00D80F06" w:rsidRDefault="00885FDA">
            <w:pPr>
              <w:rPr>
                <w:rFonts w:ascii="Calibri" w:eastAsia="Calibri" w:hAnsi="Calibri" w:cs="Calibri"/>
                <w:sz w:val="22"/>
                <w:szCs w:val="22"/>
              </w:rPr>
            </w:pPr>
            <w:r>
              <w:rPr>
                <w:rFonts w:ascii="Arial" w:eastAsia="Arial" w:hAnsi="Arial" w:cs="Arial"/>
              </w:rPr>
              <w:t>Respectfully submitted,</w:t>
            </w:r>
          </w:p>
        </w:tc>
      </w:tr>
      <w:tr w:rsidR="00D80F06" w14:paraId="782AC775" w14:textId="77777777">
        <w:trPr>
          <w:trHeight w:val="1680"/>
        </w:trPr>
        <w:tc>
          <w:tcPr>
            <w:tcW w:w="3528" w:type="dxa"/>
            <w:tcBorders>
              <w:top w:val="nil"/>
              <w:left w:val="nil"/>
              <w:bottom w:val="nil"/>
              <w:right w:val="nil"/>
            </w:tcBorders>
            <w:shd w:val="clear" w:color="auto" w:fill="auto"/>
            <w:tcMar>
              <w:top w:w="80" w:type="dxa"/>
              <w:left w:w="80" w:type="dxa"/>
              <w:bottom w:w="80" w:type="dxa"/>
              <w:right w:w="80" w:type="dxa"/>
            </w:tcMar>
          </w:tcPr>
          <w:p w14:paraId="301B8A6D" w14:textId="77777777" w:rsidR="00D80F06" w:rsidRDefault="00D80F06"/>
        </w:tc>
        <w:tc>
          <w:tcPr>
            <w:tcW w:w="6048" w:type="dxa"/>
            <w:tcBorders>
              <w:top w:val="nil"/>
              <w:left w:val="nil"/>
              <w:bottom w:val="nil"/>
              <w:right w:val="nil"/>
            </w:tcBorders>
            <w:shd w:val="clear" w:color="auto" w:fill="auto"/>
            <w:tcMar>
              <w:top w:w="80" w:type="dxa"/>
              <w:left w:w="80" w:type="dxa"/>
              <w:bottom w:w="80" w:type="dxa"/>
              <w:right w:w="80" w:type="dxa"/>
            </w:tcMar>
          </w:tcPr>
          <w:p w14:paraId="2B9A56E8" w14:textId="5FF191FA" w:rsidR="00D80F06" w:rsidRDefault="00885632">
            <w:pPr>
              <w:rPr>
                <w:rFonts w:ascii="Arial" w:eastAsia="Arial" w:hAnsi="Arial" w:cs="Arial"/>
              </w:rPr>
            </w:pPr>
            <w:r>
              <w:rPr>
                <w:rFonts w:ascii="Arial" w:eastAsia="Arial" w:hAnsi="Arial" w:cs="Arial"/>
              </w:rPr>
              <w:t>/s/</w:t>
            </w:r>
          </w:p>
          <w:p w14:paraId="5B04DDEB" w14:textId="77777777" w:rsidR="00D80F06" w:rsidRDefault="00D80F06">
            <w:pPr>
              <w:rPr>
                <w:rFonts w:ascii="Arial" w:eastAsia="Arial" w:hAnsi="Arial" w:cs="Arial"/>
              </w:rPr>
            </w:pPr>
          </w:p>
          <w:p w14:paraId="64C25FD4" w14:textId="77777777" w:rsidR="00D80F06" w:rsidRDefault="00D80F06">
            <w:pPr>
              <w:rPr>
                <w:rFonts w:ascii="Arial" w:eastAsia="Arial" w:hAnsi="Arial" w:cs="Arial"/>
              </w:rPr>
            </w:pPr>
          </w:p>
          <w:p w14:paraId="0FE33198" w14:textId="77777777" w:rsidR="00D80F06" w:rsidRDefault="00885FDA">
            <w:pPr>
              <w:rPr>
                <w:rFonts w:ascii="Arial" w:eastAsia="Arial" w:hAnsi="Arial" w:cs="Arial"/>
              </w:rPr>
            </w:pPr>
            <w:r>
              <w:rPr>
                <w:rFonts w:ascii="Arial" w:eastAsia="Arial" w:hAnsi="Arial" w:cs="Arial"/>
              </w:rPr>
              <w:t xml:space="preserve">Laura </w:t>
            </w:r>
            <w:proofErr w:type="spellStart"/>
            <w:r>
              <w:rPr>
                <w:rFonts w:ascii="Arial" w:eastAsia="Arial" w:hAnsi="Arial" w:cs="Arial"/>
              </w:rPr>
              <w:t>Mameesh</w:t>
            </w:r>
            <w:proofErr w:type="spellEnd"/>
          </w:p>
          <w:p w14:paraId="19F24513" w14:textId="77777777" w:rsidR="00D80F06" w:rsidRDefault="00885FDA">
            <w:pPr>
              <w:rPr>
                <w:rFonts w:ascii="Arial" w:eastAsia="Arial" w:hAnsi="Arial" w:cs="Arial"/>
              </w:rPr>
            </w:pPr>
            <w:r>
              <w:rPr>
                <w:rFonts w:ascii="Arial" w:eastAsia="Arial" w:hAnsi="Arial" w:cs="Arial"/>
              </w:rPr>
              <w:t>Policy Advisor, Disadvantaged Communities</w:t>
            </w:r>
          </w:p>
          <w:p w14:paraId="7E50ADDC" w14:textId="77777777" w:rsidR="00D80F06" w:rsidRDefault="00885FDA">
            <w:pPr>
              <w:rPr>
                <w:rFonts w:ascii="Calibri" w:eastAsia="Calibri" w:hAnsi="Calibri" w:cs="Calibri"/>
                <w:sz w:val="22"/>
                <w:szCs w:val="22"/>
              </w:rPr>
            </w:pPr>
            <w:r>
              <w:rPr>
                <w:rFonts w:ascii="Arial" w:eastAsia="Arial" w:hAnsi="Arial" w:cs="Arial"/>
              </w:rPr>
              <w:t xml:space="preserve">Olivine, Inc.   </w:t>
            </w:r>
          </w:p>
        </w:tc>
      </w:tr>
    </w:tbl>
    <w:p w14:paraId="1C32BB22" w14:textId="77777777" w:rsidR="00D80F06" w:rsidRDefault="00D80F06">
      <w:pPr>
        <w:widowControl w:val="0"/>
        <w:spacing w:after="200"/>
        <w:rPr>
          <w:rFonts w:ascii="Arial" w:eastAsia="Arial" w:hAnsi="Arial" w:cs="Arial"/>
        </w:rPr>
      </w:pPr>
    </w:p>
    <w:p w14:paraId="6141C2EB" w14:textId="77777777" w:rsidR="00D80F06" w:rsidRDefault="00D80F06">
      <w:pPr>
        <w:spacing w:after="200"/>
        <w:rPr>
          <w:rFonts w:ascii="Arial" w:eastAsia="Arial" w:hAnsi="Arial" w:cs="Arial"/>
        </w:rPr>
      </w:pPr>
    </w:p>
    <w:p w14:paraId="32DF9AB9" w14:textId="77777777" w:rsidR="00D80F06" w:rsidRDefault="00885FDA">
      <w:pPr>
        <w:spacing w:after="200" w:line="480" w:lineRule="auto"/>
        <w:rPr>
          <w:rFonts w:ascii="Calibri" w:eastAsia="Calibri" w:hAnsi="Calibri" w:cs="Calibri"/>
          <w:sz w:val="22"/>
          <w:szCs w:val="22"/>
        </w:rPr>
      </w:pPr>
      <w:r>
        <w:rPr>
          <w:rFonts w:ascii="Arial" w:eastAsia="Arial" w:hAnsi="Arial" w:cs="Arial"/>
        </w:rPr>
        <w:t>March 5, 2018</w:t>
      </w:r>
    </w:p>
    <w:p w14:paraId="473F6D85" w14:textId="77777777" w:rsidR="00D80F06" w:rsidRDefault="00885FDA">
      <w:pPr>
        <w:widowControl w:val="0"/>
        <w:spacing w:line="276" w:lineRule="auto"/>
        <w:rPr>
          <w:rFonts w:ascii="Calibri" w:eastAsia="Calibri" w:hAnsi="Calibri" w:cs="Calibri"/>
          <w:sz w:val="22"/>
          <w:szCs w:val="22"/>
        </w:rPr>
        <w:sectPr w:rsidR="00D80F06">
          <w:type w:val="continuous"/>
          <w:pgSz w:w="12240" w:h="15840"/>
          <w:pgMar w:top="1440" w:right="1440" w:bottom="1440" w:left="1440" w:header="720" w:footer="720" w:gutter="0"/>
          <w:cols w:space="720"/>
        </w:sectPr>
      </w:pPr>
      <w:r>
        <w:br w:type="page"/>
      </w:r>
    </w:p>
    <w:p w14:paraId="675957A3" w14:textId="77777777" w:rsidR="00D80F06" w:rsidRDefault="00D80F06">
      <w:pPr>
        <w:spacing w:after="200" w:line="480" w:lineRule="auto"/>
        <w:rPr>
          <w:rFonts w:ascii="Arial" w:eastAsia="Arial" w:hAnsi="Arial" w:cs="Arial"/>
          <w:b/>
        </w:rPr>
      </w:pPr>
    </w:p>
    <w:p w14:paraId="6983FDA0" w14:textId="77777777" w:rsidR="00D80F06" w:rsidRDefault="00885FDA">
      <w:pPr>
        <w:spacing w:after="200" w:line="480" w:lineRule="auto"/>
        <w:rPr>
          <w:rFonts w:ascii="Arial" w:eastAsia="Arial" w:hAnsi="Arial" w:cs="Arial"/>
          <w:b/>
        </w:rPr>
      </w:pPr>
      <w:proofErr w:type="gramStart"/>
      <w:r>
        <w:rPr>
          <w:rFonts w:ascii="Arial" w:eastAsia="Arial" w:hAnsi="Arial" w:cs="Arial"/>
          <w:b/>
        </w:rPr>
        <w:t>Tables 1-3.</w:t>
      </w:r>
      <w:proofErr w:type="gramEnd"/>
      <w:r>
        <w:rPr>
          <w:rFonts w:ascii="Arial" w:eastAsia="Arial" w:hAnsi="Arial" w:cs="Arial"/>
          <w:b/>
        </w:rPr>
        <w:t xml:space="preserve"> Location Selection Criteria and Data</w:t>
      </w:r>
    </w:p>
    <w:p w14:paraId="07A5D52B" w14:textId="77777777" w:rsidR="00D80F06" w:rsidRDefault="00885FDA">
      <w:pPr>
        <w:spacing w:after="200" w:line="480" w:lineRule="auto"/>
        <w:rPr>
          <w:rFonts w:ascii="Arial" w:eastAsia="Arial" w:hAnsi="Arial" w:cs="Arial"/>
        </w:rPr>
      </w:pPr>
      <w:proofErr w:type="gramStart"/>
      <w:r>
        <w:rPr>
          <w:rFonts w:ascii="Arial" w:eastAsia="Arial" w:hAnsi="Arial" w:cs="Arial"/>
          <w:b/>
        </w:rPr>
        <w:t>Table 1.</w:t>
      </w:r>
      <w:proofErr w:type="gramEnd"/>
      <w:r>
        <w:rPr>
          <w:rFonts w:ascii="Arial" w:eastAsia="Arial" w:hAnsi="Arial" w:cs="Arial"/>
          <w:b/>
        </w:rPr>
        <w:t xml:space="preserve"> PG&amp;E</w:t>
      </w:r>
    </w:p>
    <w:tbl>
      <w:tblPr>
        <w:tblStyle w:val="a3"/>
        <w:tblW w:w="772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403"/>
        <w:gridCol w:w="1801"/>
        <w:gridCol w:w="1692"/>
        <w:gridCol w:w="1825"/>
      </w:tblGrid>
      <w:tr w:rsidR="00D80F06" w14:paraId="2879B49B" w14:textId="77777777" w:rsidTr="001137B0">
        <w:trPr>
          <w:trHeight w:val="300"/>
        </w:trPr>
        <w:tc>
          <w:tcPr>
            <w:tcW w:w="2403" w:type="dxa"/>
            <w:tcBorders>
              <w:top w:val="single" w:sz="6" w:space="0" w:color="CCCCCC"/>
              <w:left w:val="single" w:sz="6" w:space="0" w:color="CCCCCC"/>
              <w:bottom w:val="single" w:sz="6" w:space="0" w:color="CCCCCC"/>
              <w:right w:val="single" w:sz="6" w:space="0" w:color="CCCCCC"/>
            </w:tcBorders>
            <w:shd w:val="clear" w:color="auto" w:fill="auto"/>
            <w:tcMar>
              <w:top w:w="80" w:type="dxa"/>
              <w:left w:w="80" w:type="dxa"/>
              <w:bottom w:w="80" w:type="dxa"/>
              <w:right w:w="80" w:type="dxa"/>
            </w:tcMar>
            <w:vAlign w:val="bottom"/>
          </w:tcPr>
          <w:p w14:paraId="7FEF97A0" w14:textId="77777777" w:rsidR="00D80F06" w:rsidRDefault="00D80F06"/>
        </w:tc>
        <w:tc>
          <w:tcPr>
            <w:tcW w:w="1801"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2598E07E" w14:textId="77777777" w:rsidR="00D80F06" w:rsidRDefault="00885FDA">
            <w:pPr>
              <w:rPr>
                <w:rFonts w:ascii="Calibri" w:eastAsia="Calibri" w:hAnsi="Calibri" w:cs="Calibri"/>
                <w:sz w:val="22"/>
                <w:szCs w:val="22"/>
              </w:rPr>
            </w:pPr>
            <w:r>
              <w:rPr>
                <w:rFonts w:ascii="Arial" w:eastAsia="Arial" w:hAnsi="Arial" w:cs="Arial"/>
                <w:b/>
                <w:sz w:val="20"/>
                <w:szCs w:val="20"/>
              </w:rPr>
              <w:t>PG&amp;E*</w:t>
            </w:r>
          </w:p>
        </w:tc>
        <w:tc>
          <w:tcPr>
            <w:tcW w:w="1692"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74E915EA" w14:textId="77777777" w:rsidR="00D80F06" w:rsidRDefault="00D80F06"/>
        </w:tc>
        <w:tc>
          <w:tcPr>
            <w:tcW w:w="1825"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2CFAB18A" w14:textId="77777777" w:rsidR="00D80F06" w:rsidRDefault="00D80F06"/>
        </w:tc>
      </w:tr>
      <w:tr w:rsidR="00D80F06" w14:paraId="1C3A1405" w14:textId="77777777" w:rsidTr="001137B0">
        <w:trPr>
          <w:trHeight w:val="220"/>
        </w:trPr>
        <w:tc>
          <w:tcPr>
            <w:tcW w:w="2403"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60125DFF" w14:textId="77777777" w:rsidR="00D80F06" w:rsidRDefault="00D80F06"/>
        </w:tc>
        <w:tc>
          <w:tcPr>
            <w:tcW w:w="1801"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3BACE89D" w14:textId="77777777" w:rsidR="00D80F06" w:rsidRDefault="00885FDA">
            <w:pPr>
              <w:rPr>
                <w:rFonts w:ascii="Calibri" w:eastAsia="Calibri" w:hAnsi="Calibri" w:cs="Calibri"/>
                <w:sz w:val="22"/>
                <w:szCs w:val="22"/>
              </w:rPr>
            </w:pPr>
            <w:r>
              <w:rPr>
                <w:rFonts w:ascii="Arial" w:eastAsia="Arial" w:hAnsi="Arial" w:cs="Arial"/>
                <w:b/>
                <w:sz w:val="20"/>
                <w:szCs w:val="20"/>
              </w:rPr>
              <w:t>Huron</w:t>
            </w:r>
          </w:p>
        </w:tc>
        <w:tc>
          <w:tcPr>
            <w:tcW w:w="1692"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736494DE" w14:textId="77777777" w:rsidR="00D80F06" w:rsidRDefault="00885FDA">
            <w:pPr>
              <w:rPr>
                <w:rFonts w:ascii="Calibri" w:eastAsia="Calibri" w:hAnsi="Calibri" w:cs="Calibri"/>
                <w:sz w:val="22"/>
                <w:szCs w:val="22"/>
              </w:rPr>
            </w:pPr>
            <w:r>
              <w:rPr>
                <w:rFonts w:ascii="Arial" w:eastAsia="Arial" w:hAnsi="Arial" w:cs="Arial"/>
                <w:b/>
                <w:sz w:val="20"/>
                <w:szCs w:val="20"/>
              </w:rPr>
              <w:t>Selma</w:t>
            </w:r>
          </w:p>
        </w:tc>
        <w:tc>
          <w:tcPr>
            <w:tcW w:w="1825" w:type="dxa"/>
            <w:tcBorders>
              <w:top w:val="single" w:sz="6" w:space="0" w:color="CCCCCC"/>
              <w:left w:val="single" w:sz="6" w:space="0" w:color="CCCCCC"/>
              <w:bottom w:val="single" w:sz="6" w:space="0" w:color="CCCCCC"/>
              <w:right w:val="single" w:sz="6" w:space="0" w:color="666666"/>
            </w:tcBorders>
            <w:shd w:val="clear" w:color="auto" w:fill="EFEFEF"/>
            <w:tcMar>
              <w:top w:w="80" w:type="dxa"/>
              <w:left w:w="80" w:type="dxa"/>
              <w:bottom w:w="80" w:type="dxa"/>
              <w:right w:w="80" w:type="dxa"/>
            </w:tcMar>
            <w:vAlign w:val="bottom"/>
          </w:tcPr>
          <w:p w14:paraId="74AFED93" w14:textId="77777777" w:rsidR="00D80F06" w:rsidRDefault="00885FDA">
            <w:pPr>
              <w:rPr>
                <w:rFonts w:ascii="Calibri" w:eastAsia="Calibri" w:hAnsi="Calibri" w:cs="Calibri"/>
                <w:sz w:val="22"/>
                <w:szCs w:val="22"/>
              </w:rPr>
            </w:pPr>
            <w:r>
              <w:rPr>
                <w:rFonts w:ascii="Arial" w:eastAsia="Arial" w:hAnsi="Arial" w:cs="Arial"/>
                <w:b/>
                <w:sz w:val="20"/>
                <w:szCs w:val="20"/>
              </w:rPr>
              <w:t>Fresno</w:t>
            </w:r>
          </w:p>
        </w:tc>
      </w:tr>
      <w:tr w:rsidR="00D80F06" w14:paraId="1389BB5F" w14:textId="77777777" w:rsidTr="001137B0">
        <w:trPr>
          <w:trHeight w:val="440"/>
        </w:trPr>
        <w:tc>
          <w:tcPr>
            <w:tcW w:w="2403"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7B1EC1C7" w14:textId="77777777" w:rsidR="00D80F06" w:rsidRDefault="00885FDA">
            <w:pPr>
              <w:rPr>
                <w:rFonts w:ascii="Calibri" w:eastAsia="Calibri" w:hAnsi="Calibri" w:cs="Calibri"/>
                <w:sz w:val="22"/>
                <w:szCs w:val="22"/>
              </w:rPr>
            </w:pPr>
            <w:r>
              <w:rPr>
                <w:rFonts w:ascii="Arial" w:eastAsia="Arial" w:hAnsi="Arial" w:cs="Arial"/>
                <w:b/>
                <w:sz w:val="20"/>
                <w:szCs w:val="20"/>
              </w:rPr>
              <w:t>DAC penetration (tracts)</w:t>
            </w:r>
          </w:p>
        </w:tc>
        <w:tc>
          <w:tcPr>
            <w:tcW w:w="1801"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65FCF7CF" w14:textId="77777777" w:rsidR="00D80F06" w:rsidRDefault="00885FDA">
            <w:pPr>
              <w:jc w:val="right"/>
              <w:rPr>
                <w:rFonts w:ascii="Calibri" w:eastAsia="Calibri" w:hAnsi="Calibri" w:cs="Calibri"/>
                <w:sz w:val="22"/>
                <w:szCs w:val="22"/>
              </w:rPr>
            </w:pPr>
            <w:r>
              <w:rPr>
                <w:rFonts w:ascii="Arial" w:eastAsia="Arial" w:hAnsi="Arial" w:cs="Arial"/>
                <w:sz w:val="20"/>
                <w:szCs w:val="20"/>
              </w:rPr>
              <w:t>50%</w:t>
            </w:r>
          </w:p>
        </w:tc>
        <w:tc>
          <w:tcPr>
            <w:tcW w:w="1692"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34BBBE9B" w14:textId="77777777" w:rsidR="00D80F06" w:rsidRDefault="00885FDA">
            <w:pPr>
              <w:jc w:val="right"/>
              <w:rPr>
                <w:rFonts w:ascii="Calibri" w:eastAsia="Calibri" w:hAnsi="Calibri" w:cs="Calibri"/>
                <w:sz w:val="22"/>
                <w:szCs w:val="22"/>
              </w:rPr>
            </w:pPr>
            <w:r>
              <w:rPr>
                <w:rFonts w:ascii="Arial" w:eastAsia="Arial" w:hAnsi="Arial" w:cs="Arial"/>
                <w:sz w:val="20"/>
                <w:szCs w:val="20"/>
              </w:rPr>
              <w:t>100%</w:t>
            </w:r>
          </w:p>
        </w:tc>
        <w:tc>
          <w:tcPr>
            <w:tcW w:w="1825" w:type="dxa"/>
            <w:tcBorders>
              <w:top w:val="single" w:sz="6" w:space="0" w:color="CCCCCC"/>
              <w:left w:val="single" w:sz="6" w:space="0" w:color="CCCCCC"/>
              <w:bottom w:val="single" w:sz="6" w:space="0" w:color="CCCCCC"/>
              <w:right w:val="single" w:sz="6" w:space="0" w:color="666666"/>
            </w:tcBorders>
            <w:shd w:val="clear" w:color="auto" w:fill="EFEFEF"/>
            <w:tcMar>
              <w:top w:w="80" w:type="dxa"/>
              <w:left w:w="80" w:type="dxa"/>
              <w:bottom w:w="80" w:type="dxa"/>
              <w:right w:w="80" w:type="dxa"/>
            </w:tcMar>
            <w:vAlign w:val="bottom"/>
          </w:tcPr>
          <w:p w14:paraId="218C0432" w14:textId="77777777" w:rsidR="00D80F06" w:rsidRDefault="00885FDA">
            <w:pPr>
              <w:jc w:val="right"/>
              <w:rPr>
                <w:rFonts w:ascii="Calibri" w:eastAsia="Calibri" w:hAnsi="Calibri" w:cs="Calibri"/>
                <w:sz w:val="22"/>
                <w:szCs w:val="22"/>
              </w:rPr>
            </w:pPr>
            <w:r>
              <w:rPr>
                <w:rFonts w:ascii="Arial" w:eastAsia="Arial" w:hAnsi="Arial" w:cs="Arial"/>
                <w:sz w:val="20"/>
                <w:szCs w:val="20"/>
              </w:rPr>
              <w:t>67%</w:t>
            </w:r>
          </w:p>
        </w:tc>
      </w:tr>
      <w:tr w:rsidR="00D80F06" w14:paraId="46BE9434" w14:textId="77777777" w:rsidTr="001137B0">
        <w:trPr>
          <w:trHeight w:val="440"/>
        </w:trPr>
        <w:tc>
          <w:tcPr>
            <w:tcW w:w="2403"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25E5F0BF" w14:textId="77777777" w:rsidR="00D80F06" w:rsidRDefault="00885FDA">
            <w:pPr>
              <w:rPr>
                <w:rFonts w:ascii="Calibri" w:eastAsia="Calibri" w:hAnsi="Calibri" w:cs="Calibri"/>
                <w:sz w:val="22"/>
                <w:szCs w:val="22"/>
              </w:rPr>
            </w:pPr>
            <w:r>
              <w:rPr>
                <w:rFonts w:ascii="Arial" w:eastAsia="Arial" w:hAnsi="Arial" w:cs="Arial"/>
                <w:b/>
                <w:sz w:val="20"/>
                <w:szCs w:val="20"/>
              </w:rPr>
              <w:t>Peaker plant</w:t>
            </w:r>
          </w:p>
        </w:tc>
        <w:tc>
          <w:tcPr>
            <w:tcW w:w="1801"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0151A2F0" w14:textId="77777777" w:rsidR="00D80F06" w:rsidRDefault="00885FDA">
            <w:pPr>
              <w:rPr>
                <w:rFonts w:ascii="Calibri" w:eastAsia="Calibri" w:hAnsi="Calibri" w:cs="Calibri"/>
                <w:sz w:val="22"/>
                <w:szCs w:val="22"/>
              </w:rPr>
            </w:pPr>
            <w:r>
              <w:rPr>
                <w:rFonts w:ascii="Arial" w:eastAsia="Arial" w:hAnsi="Arial" w:cs="Arial"/>
                <w:sz w:val="20"/>
                <w:szCs w:val="20"/>
              </w:rPr>
              <w:t>Henrietta/Hanford</w:t>
            </w:r>
          </w:p>
        </w:tc>
        <w:tc>
          <w:tcPr>
            <w:tcW w:w="1692"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33E4729B" w14:textId="77777777" w:rsidR="00D80F06" w:rsidRDefault="00885FDA">
            <w:pPr>
              <w:rPr>
                <w:rFonts w:ascii="Calibri" w:eastAsia="Calibri" w:hAnsi="Calibri" w:cs="Calibri"/>
                <w:sz w:val="22"/>
                <w:szCs w:val="22"/>
              </w:rPr>
            </w:pPr>
            <w:r>
              <w:rPr>
                <w:rFonts w:ascii="Arial" w:eastAsia="Arial" w:hAnsi="Arial" w:cs="Arial"/>
                <w:sz w:val="20"/>
                <w:szCs w:val="20"/>
              </w:rPr>
              <w:t>Malaga/Kings River</w:t>
            </w:r>
          </w:p>
        </w:tc>
        <w:tc>
          <w:tcPr>
            <w:tcW w:w="1825" w:type="dxa"/>
            <w:tcBorders>
              <w:top w:val="single" w:sz="6" w:space="0" w:color="CCCCCC"/>
              <w:left w:val="single" w:sz="6" w:space="0" w:color="CCCCCC"/>
              <w:bottom w:val="single" w:sz="6" w:space="0" w:color="CCCCCC"/>
              <w:right w:val="single" w:sz="6" w:space="0" w:color="666666"/>
            </w:tcBorders>
            <w:shd w:val="clear" w:color="auto" w:fill="EFEFEF"/>
            <w:tcMar>
              <w:top w:w="80" w:type="dxa"/>
              <w:left w:w="80" w:type="dxa"/>
              <w:bottom w:w="80" w:type="dxa"/>
              <w:right w:w="80" w:type="dxa"/>
            </w:tcMar>
            <w:vAlign w:val="bottom"/>
          </w:tcPr>
          <w:p w14:paraId="5E0D7E99" w14:textId="77777777" w:rsidR="00D80F06" w:rsidRDefault="00885FDA">
            <w:pPr>
              <w:rPr>
                <w:rFonts w:ascii="Calibri" w:eastAsia="Calibri" w:hAnsi="Calibri" w:cs="Calibri"/>
                <w:sz w:val="22"/>
                <w:szCs w:val="22"/>
              </w:rPr>
            </w:pPr>
            <w:r>
              <w:rPr>
                <w:rFonts w:ascii="Arial" w:eastAsia="Arial" w:hAnsi="Arial" w:cs="Arial"/>
                <w:sz w:val="20"/>
                <w:szCs w:val="20"/>
              </w:rPr>
              <w:t>Malaga/Kings River</w:t>
            </w:r>
          </w:p>
        </w:tc>
      </w:tr>
      <w:tr w:rsidR="00D80F06" w14:paraId="6BDE6D56" w14:textId="77777777" w:rsidTr="001137B0">
        <w:trPr>
          <w:trHeight w:val="220"/>
        </w:trPr>
        <w:tc>
          <w:tcPr>
            <w:tcW w:w="2403"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18485E2B" w14:textId="77777777" w:rsidR="00D80F06" w:rsidRDefault="00885FDA">
            <w:pPr>
              <w:rPr>
                <w:rFonts w:ascii="Calibri" w:eastAsia="Calibri" w:hAnsi="Calibri" w:cs="Calibri"/>
                <w:sz w:val="22"/>
                <w:szCs w:val="22"/>
              </w:rPr>
            </w:pPr>
            <w:r>
              <w:rPr>
                <w:rFonts w:ascii="Arial" w:eastAsia="Arial" w:hAnsi="Arial" w:cs="Arial"/>
                <w:b/>
                <w:sz w:val="20"/>
                <w:szCs w:val="20"/>
              </w:rPr>
              <w:t>Avg. Poverty %-</w:t>
            </w:r>
            <w:proofErr w:type="spellStart"/>
            <w:r>
              <w:rPr>
                <w:rFonts w:ascii="Arial" w:eastAsia="Arial" w:hAnsi="Arial" w:cs="Arial"/>
                <w:b/>
                <w:sz w:val="20"/>
                <w:szCs w:val="20"/>
              </w:rPr>
              <w:t>ile</w:t>
            </w:r>
            <w:proofErr w:type="spellEnd"/>
          </w:p>
        </w:tc>
        <w:tc>
          <w:tcPr>
            <w:tcW w:w="1801"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2B5151D8" w14:textId="77777777" w:rsidR="00D80F06" w:rsidRDefault="00885FDA">
            <w:pPr>
              <w:jc w:val="right"/>
              <w:rPr>
                <w:rFonts w:ascii="Calibri" w:eastAsia="Calibri" w:hAnsi="Calibri" w:cs="Calibri"/>
                <w:sz w:val="22"/>
                <w:szCs w:val="22"/>
              </w:rPr>
            </w:pPr>
            <w:r>
              <w:rPr>
                <w:rFonts w:ascii="Arial" w:eastAsia="Arial" w:hAnsi="Arial" w:cs="Arial"/>
                <w:sz w:val="20"/>
                <w:szCs w:val="20"/>
              </w:rPr>
              <w:t>98%</w:t>
            </w:r>
          </w:p>
        </w:tc>
        <w:tc>
          <w:tcPr>
            <w:tcW w:w="1692"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69BD841D" w14:textId="77777777" w:rsidR="00D80F06" w:rsidRDefault="00885FDA">
            <w:pPr>
              <w:jc w:val="right"/>
              <w:rPr>
                <w:rFonts w:ascii="Calibri" w:eastAsia="Calibri" w:hAnsi="Calibri" w:cs="Calibri"/>
                <w:sz w:val="22"/>
                <w:szCs w:val="22"/>
              </w:rPr>
            </w:pPr>
            <w:r>
              <w:rPr>
                <w:rFonts w:ascii="Arial" w:eastAsia="Arial" w:hAnsi="Arial" w:cs="Arial"/>
                <w:sz w:val="20"/>
                <w:szCs w:val="20"/>
              </w:rPr>
              <w:t>80%</w:t>
            </w:r>
          </w:p>
        </w:tc>
        <w:tc>
          <w:tcPr>
            <w:tcW w:w="1825" w:type="dxa"/>
            <w:tcBorders>
              <w:top w:val="single" w:sz="6" w:space="0" w:color="CCCCCC"/>
              <w:left w:val="single" w:sz="6" w:space="0" w:color="CCCCCC"/>
              <w:bottom w:val="single" w:sz="6" w:space="0" w:color="CCCCCC"/>
              <w:right w:val="single" w:sz="6" w:space="0" w:color="666666"/>
            </w:tcBorders>
            <w:shd w:val="clear" w:color="auto" w:fill="EFEFEF"/>
            <w:tcMar>
              <w:top w:w="80" w:type="dxa"/>
              <w:left w:w="80" w:type="dxa"/>
              <w:bottom w:w="80" w:type="dxa"/>
              <w:right w:w="80" w:type="dxa"/>
            </w:tcMar>
            <w:vAlign w:val="bottom"/>
          </w:tcPr>
          <w:p w14:paraId="268232AA" w14:textId="77777777" w:rsidR="00D80F06" w:rsidRDefault="00D80F06"/>
        </w:tc>
      </w:tr>
      <w:tr w:rsidR="00D80F06" w14:paraId="7A2E4827" w14:textId="77777777" w:rsidTr="001137B0">
        <w:trPr>
          <w:trHeight w:val="220"/>
        </w:trPr>
        <w:tc>
          <w:tcPr>
            <w:tcW w:w="2403"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4F156451" w14:textId="77777777" w:rsidR="00D80F06" w:rsidRDefault="00885FDA">
            <w:pPr>
              <w:rPr>
                <w:rFonts w:ascii="Calibri" w:eastAsia="Calibri" w:hAnsi="Calibri" w:cs="Calibri"/>
                <w:sz w:val="22"/>
                <w:szCs w:val="22"/>
              </w:rPr>
            </w:pPr>
            <w:r>
              <w:rPr>
                <w:rFonts w:ascii="Arial" w:eastAsia="Arial" w:hAnsi="Arial" w:cs="Arial"/>
                <w:b/>
                <w:sz w:val="20"/>
                <w:szCs w:val="20"/>
              </w:rPr>
              <w:t>Avg. Pollution burden</w:t>
            </w:r>
          </w:p>
        </w:tc>
        <w:tc>
          <w:tcPr>
            <w:tcW w:w="1801"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02B65CCF" w14:textId="77777777" w:rsidR="00D80F06" w:rsidRDefault="00885FDA">
            <w:pPr>
              <w:jc w:val="right"/>
              <w:rPr>
                <w:rFonts w:ascii="Calibri" w:eastAsia="Calibri" w:hAnsi="Calibri" w:cs="Calibri"/>
                <w:sz w:val="22"/>
                <w:szCs w:val="22"/>
              </w:rPr>
            </w:pPr>
            <w:r>
              <w:rPr>
                <w:rFonts w:ascii="Arial" w:eastAsia="Arial" w:hAnsi="Arial" w:cs="Arial"/>
                <w:sz w:val="20"/>
                <w:szCs w:val="20"/>
              </w:rPr>
              <w:t>64%</w:t>
            </w:r>
          </w:p>
        </w:tc>
        <w:tc>
          <w:tcPr>
            <w:tcW w:w="1692" w:type="dxa"/>
            <w:tcBorders>
              <w:top w:val="single" w:sz="6" w:space="0" w:color="CCCCCC"/>
              <w:left w:val="single" w:sz="6" w:space="0" w:color="CCCCCC"/>
              <w:bottom w:val="single" w:sz="6" w:space="0" w:color="CCCCCC"/>
              <w:right w:val="single" w:sz="6" w:space="0" w:color="CCCCCC"/>
            </w:tcBorders>
            <w:shd w:val="clear" w:color="auto" w:fill="EFEFEF"/>
            <w:tcMar>
              <w:top w:w="80" w:type="dxa"/>
              <w:left w:w="80" w:type="dxa"/>
              <w:bottom w:w="80" w:type="dxa"/>
              <w:right w:w="80" w:type="dxa"/>
            </w:tcMar>
            <w:vAlign w:val="bottom"/>
          </w:tcPr>
          <w:p w14:paraId="29131B76" w14:textId="77777777" w:rsidR="00D80F06" w:rsidRDefault="00885FDA">
            <w:pPr>
              <w:jc w:val="right"/>
              <w:rPr>
                <w:rFonts w:ascii="Calibri" w:eastAsia="Calibri" w:hAnsi="Calibri" w:cs="Calibri"/>
                <w:sz w:val="22"/>
                <w:szCs w:val="22"/>
              </w:rPr>
            </w:pPr>
            <w:r>
              <w:rPr>
                <w:rFonts w:ascii="Arial" w:eastAsia="Arial" w:hAnsi="Arial" w:cs="Arial"/>
                <w:sz w:val="20"/>
                <w:szCs w:val="20"/>
              </w:rPr>
              <w:t>90%</w:t>
            </w:r>
          </w:p>
        </w:tc>
        <w:tc>
          <w:tcPr>
            <w:tcW w:w="1825" w:type="dxa"/>
            <w:tcBorders>
              <w:top w:val="single" w:sz="6" w:space="0" w:color="CCCCCC"/>
              <w:left w:val="single" w:sz="6" w:space="0" w:color="CCCCCC"/>
              <w:bottom w:val="single" w:sz="6" w:space="0" w:color="CCCCCC"/>
              <w:right w:val="single" w:sz="6" w:space="0" w:color="666666"/>
            </w:tcBorders>
            <w:shd w:val="clear" w:color="auto" w:fill="EFEFEF"/>
            <w:tcMar>
              <w:top w:w="80" w:type="dxa"/>
              <w:left w:w="80" w:type="dxa"/>
              <w:bottom w:w="80" w:type="dxa"/>
              <w:right w:w="80" w:type="dxa"/>
            </w:tcMar>
            <w:vAlign w:val="bottom"/>
          </w:tcPr>
          <w:p w14:paraId="5D11426D" w14:textId="77777777" w:rsidR="00D80F06" w:rsidRDefault="00D80F06"/>
        </w:tc>
      </w:tr>
      <w:tr w:rsidR="00D80F06" w14:paraId="6E6DB968" w14:textId="77777777" w:rsidTr="001137B0">
        <w:trPr>
          <w:trHeight w:val="220"/>
        </w:trPr>
        <w:tc>
          <w:tcPr>
            <w:tcW w:w="2403" w:type="dxa"/>
            <w:tcBorders>
              <w:top w:val="single" w:sz="6" w:space="0" w:color="CCCCCC"/>
              <w:left w:val="single" w:sz="6" w:space="0" w:color="666666"/>
              <w:bottom w:val="single" w:sz="6" w:space="0" w:color="666666"/>
              <w:right w:val="single" w:sz="6" w:space="0" w:color="CCCCCC"/>
            </w:tcBorders>
            <w:shd w:val="clear" w:color="auto" w:fill="auto"/>
            <w:tcMar>
              <w:top w:w="80" w:type="dxa"/>
              <w:left w:w="80" w:type="dxa"/>
              <w:bottom w:w="80" w:type="dxa"/>
              <w:right w:w="80" w:type="dxa"/>
            </w:tcMar>
            <w:vAlign w:val="bottom"/>
          </w:tcPr>
          <w:p w14:paraId="5C930A56" w14:textId="77777777" w:rsidR="00D80F06" w:rsidRDefault="00885FDA">
            <w:pPr>
              <w:rPr>
                <w:rFonts w:ascii="Calibri" w:eastAsia="Calibri" w:hAnsi="Calibri" w:cs="Calibri"/>
                <w:sz w:val="22"/>
                <w:szCs w:val="22"/>
              </w:rPr>
            </w:pPr>
            <w:r>
              <w:rPr>
                <w:rFonts w:ascii="Arial" w:eastAsia="Arial" w:hAnsi="Arial" w:cs="Arial"/>
                <w:b/>
                <w:sz w:val="20"/>
                <w:szCs w:val="20"/>
              </w:rPr>
              <w:t>In a LCA?</w:t>
            </w:r>
          </w:p>
        </w:tc>
        <w:tc>
          <w:tcPr>
            <w:tcW w:w="1801" w:type="dxa"/>
            <w:tcBorders>
              <w:top w:val="single" w:sz="6" w:space="0" w:color="CCCCCC"/>
              <w:left w:val="single" w:sz="6" w:space="0" w:color="CCCCCC"/>
              <w:bottom w:val="single" w:sz="6" w:space="0" w:color="666666"/>
              <w:right w:val="single" w:sz="6" w:space="0" w:color="CCCCCC"/>
            </w:tcBorders>
            <w:shd w:val="clear" w:color="auto" w:fill="EFEFEF"/>
            <w:tcMar>
              <w:top w:w="80" w:type="dxa"/>
              <w:left w:w="80" w:type="dxa"/>
              <w:bottom w:w="80" w:type="dxa"/>
              <w:right w:w="80" w:type="dxa"/>
            </w:tcMar>
            <w:vAlign w:val="bottom"/>
          </w:tcPr>
          <w:p w14:paraId="10005CFD" w14:textId="77777777" w:rsidR="00D80F06" w:rsidRDefault="00885FDA">
            <w:pPr>
              <w:jc w:val="right"/>
              <w:rPr>
                <w:rFonts w:ascii="Calibri" w:eastAsia="Calibri" w:hAnsi="Calibri" w:cs="Calibri"/>
                <w:sz w:val="22"/>
                <w:szCs w:val="22"/>
              </w:rPr>
            </w:pPr>
            <w:r>
              <w:rPr>
                <w:rFonts w:ascii="Arial" w:eastAsia="Arial" w:hAnsi="Arial" w:cs="Arial"/>
                <w:sz w:val="20"/>
                <w:szCs w:val="20"/>
              </w:rPr>
              <w:t>Yes</w:t>
            </w:r>
          </w:p>
        </w:tc>
        <w:tc>
          <w:tcPr>
            <w:tcW w:w="1692" w:type="dxa"/>
            <w:tcBorders>
              <w:top w:val="single" w:sz="6" w:space="0" w:color="CCCCCC"/>
              <w:left w:val="single" w:sz="6" w:space="0" w:color="CCCCCC"/>
              <w:bottom w:val="single" w:sz="6" w:space="0" w:color="666666"/>
              <w:right w:val="single" w:sz="6" w:space="0" w:color="CCCCCC"/>
            </w:tcBorders>
            <w:shd w:val="clear" w:color="auto" w:fill="EFEFEF"/>
            <w:tcMar>
              <w:top w:w="80" w:type="dxa"/>
              <w:left w:w="80" w:type="dxa"/>
              <w:bottom w:w="80" w:type="dxa"/>
              <w:right w:w="80" w:type="dxa"/>
            </w:tcMar>
            <w:vAlign w:val="bottom"/>
          </w:tcPr>
          <w:p w14:paraId="78FBFDEB" w14:textId="77777777" w:rsidR="00D80F06" w:rsidRDefault="00885FDA">
            <w:pPr>
              <w:jc w:val="right"/>
              <w:rPr>
                <w:rFonts w:ascii="Calibri" w:eastAsia="Calibri" w:hAnsi="Calibri" w:cs="Calibri"/>
                <w:sz w:val="22"/>
                <w:szCs w:val="22"/>
              </w:rPr>
            </w:pPr>
            <w:r>
              <w:rPr>
                <w:rFonts w:ascii="Arial" w:eastAsia="Arial" w:hAnsi="Arial" w:cs="Arial"/>
                <w:sz w:val="20"/>
                <w:szCs w:val="20"/>
              </w:rPr>
              <w:t>Yes</w:t>
            </w:r>
          </w:p>
        </w:tc>
        <w:tc>
          <w:tcPr>
            <w:tcW w:w="1825" w:type="dxa"/>
            <w:tcBorders>
              <w:top w:val="single" w:sz="6" w:space="0" w:color="CCCCCC"/>
              <w:left w:val="single" w:sz="6" w:space="0" w:color="CCCCCC"/>
              <w:bottom w:val="single" w:sz="6" w:space="0" w:color="666666"/>
              <w:right w:val="single" w:sz="6" w:space="0" w:color="666666"/>
            </w:tcBorders>
            <w:shd w:val="clear" w:color="auto" w:fill="EFEFEF"/>
            <w:tcMar>
              <w:top w:w="80" w:type="dxa"/>
              <w:left w:w="80" w:type="dxa"/>
              <w:bottom w:w="80" w:type="dxa"/>
              <w:right w:w="80" w:type="dxa"/>
            </w:tcMar>
            <w:vAlign w:val="bottom"/>
          </w:tcPr>
          <w:p w14:paraId="7649206C" w14:textId="77777777" w:rsidR="00D80F06" w:rsidRDefault="00885FDA">
            <w:pPr>
              <w:jc w:val="right"/>
              <w:rPr>
                <w:rFonts w:ascii="Calibri" w:eastAsia="Calibri" w:hAnsi="Calibri" w:cs="Calibri"/>
                <w:sz w:val="22"/>
                <w:szCs w:val="22"/>
              </w:rPr>
            </w:pPr>
            <w:r>
              <w:rPr>
                <w:rFonts w:ascii="Arial" w:eastAsia="Arial" w:hAnsi="Arial" w:cs="Arial"/>
                <w:sz w:val="20"/>
                <w:szCs w:val="20"/>
              </w:rPr>
              <w:t>Yes</w:t>
            </w:r>
          </w:p>
        </w:tc>
      </w:tr>
    </w:tbl>
    <w:p w14:paraId="026EB376" w14:textId="77777777" w:rsidR="00D80F06" w:rsidRDefault="00D80F06">
      <w:pPr>
        <w:widowControl w:val="0"/>
        <w:spacing w:after="200"/>
        <w:rPr>
          <w:rFonts w:ascii="Arial" w:eastAsia="Arial" w:hAnsi="Arial" w:cs="Arial"/>
        </w:rPr>
      </w:pPr>
    </w:p>
    <w:p w14:paraId="6BE75FE6" w14:textId="77777777" w:rsidR="00D80F06" w:rsidRDefault="00D80F06">
      <w:pPr>
        <w:spacing w:after="200"/>
        <w:rPr>
          <w:rFonts w:ascii="Arial" w:eastAsia="Arial" w:hAnsi="Arial" w:cs="Arial"/>
        </w:rPr>
      </w:pPr>
    </w:p>
    <w:p w14:paraId="2656F6F1" w14:textId="77777777" w:rsidR="00D80F06" w:rsidRDefault="00885FDA">
      <w:pPr>
        <w:spacing w:after="200"/>
        <w:rPr>
          <w:rFonts w:ascii="Arial" w:eastAsia="Arial" w:hAnsi="Arial" w:cs="Arial"/>
          <w:b/>
        </w:rPr>
      </w:pPr>
      <w:proofErr w:type="gramStart"/>
      <w:r>
        <w:rPr>
          <w:rFonts w:ascii="Arial" w:eastAsia="Arial" w:hAnsi="Arial" w:cs="Arial"/>
          <w:b/>
        </w:rPr>
        <w:t>Table 2.</w:t>
      </w:r>
      <w:proofErr w:type="gramEnd"/>
      <w:r>
        <w:rPr>
          <w:rFonts w:ascii="Arial" w:eastAsia="Arial" w:hAnsi="Arial" w:cs="Arial"/>
          <w:b/>
        </w:rPr>
        <w:t xml:space="preserve"> SCE</w:t>
      </w:r>
    </w:p>
    <w:tbl>
      <w:tblPr>
        <w:tblStyle w:val="a4"/>
        <w:tblW w:w="82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547"/>
        <w:gridCol w:w="1617"/>
        <w:gridCol w:w="1808"/>
        <w:gridCol w:w="2279"/>
      </w:tblGrid>
      <w:tr w:rsidR="008638B7" w14:paraId="1157FCFB" w14:textId="77777777" w:rsidTr="008638B7">
        <w:trPr>
          <w:trHeight w:val="300"/>
        </w:trPr>
        <w:tc>
          <w:tcPr>
            <w:tcW w:w="2547" w:type="dxa"/>
            <w:tcBorders>
              <w:top w:val="single" w:sz="6" w:space="0" w:color="666666"/>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714C33D2" w14:textId="77777777" w:rsidR="008638B7" w:rsidRDefault="008638B7"/>
        </w:tc>
        <w:tc>
          <w:tcPr>
            <w:tcW w:w="1617" w:type="dxa"/>
            <w:tcBorders>
              <w:top w:val="single" w:sz="6" w:space="0" w:color="666666"/>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136CE8F1" w14:textId="77777777" w:rsidR="008638B7" w:rsidRDefault="008638B7">
            <w:pPr>
              <w:rPr>
                <w:rFonts w:ascii="Calibri" w:eastAsia="Calibri" w:hAnsi="Calibri" w:cs="Calibri"/>
                <w:sz w:val="22"/>
                <w:szCs w:val="22"/>
              </w:rPr>
            </w:pPr>
            <w:r>
              <w:rPr>
                <w:rFonts w:ascii="Arial" w:eastAsia="Arial" w:hAnsi="Arial" w:cs="Arial"/>
                <w:b/>
                <w:sz w:val="20"/>
                <w:szCs w:val="20"/>
              </w:rPr>
              <w:t>SCE*</w:t>
            </w:r>
          </w:p>
        </w:tc>
        <w:tc>
          <w:tcPr>
            <w:tcW w:w="1808" w:type="dxa"/>
            <w:tcBorders>
              <w:top w:val="single" w:sz="6" w:space="0" w:color="666666"/>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54311D85" w14:textId="77777777" w:rsidR="008638B7" w:rsidRDefault="008638B7"/>
        </w:tc>
        <w:tc>
          <w:tcPr>
            <w:tcW w:w="2279" w:type="dxa"/>
            <w:tcBorders>
              <w:top w:val="single" w:sz="6" w:space="0" w:color="666666"/>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7B466B74" w14:textId="77777777" w:rsidR="008638B7" w:rsidRDefault="008638B7"/>
        </w:tc>
      </w:tr>
      <w:tr w:rsidR="008638B7" w14:paraId="3E65B1FA" w14:textId="77777777" w:rsidTr="008638B7">
        <w:trPr>
          <w:trHeight w:val="440"/>
        </w:trPr>
        <w:tc>
          <w:tcPr>
            <w:tcW w:w="2547"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7790E86C" w14:textId="77777777" w:rsidR="008638B7" w:rsidRDefault="008638B7"/>
        </w:tc>
        <w:tc>
          <w:tcPr>
            <w:tcW w:w="1617"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0D315CC4" w14:textId="77777777" w:rsidR="008638B7" w:rsidRDefault="008638B7">
            <w:pPr>
              <w:rPr>
                <w:rFonts w:ascii="Calibri" w:eastAsia="Calibri" w:hAnsi="Calibri" w:cs="Calibri"/>
                <w:sz w:val="22"/>
                <w:szCs w:val="22"/>
              </w:rPr>
            </w:pPr>
            <w:r>
              <w:rPr>
                <w:rFonts w:ascii="Arial" w:eastAsia="Arial" w:hAnsi="Arial" w:cs="Arial"/>
                <w:b/>
                <w:sz w:val="20"/>
                <w:szCs w:val="20"/>
              </w:rPr>
              <w:t>Colton</w:t>
            </w:r>
          </w:p>
        </w:tc>
        <w:tc>
          <w:tcPr>
            <w:tcW w:w="1808"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39C0837A" w14:textId="77777777" w:rsidR="008638B7" w:rsidRDefault="008638B7">
            <w:pPr>
              <w:rPr>
                <w:rFonts w:ascii="Calibri" w:eastAsia="Calibri" w:hAnsi="Calibri" w:cs="Calibri"/>
                <w:sz w:val="22"/>
                <w:szCs w:val="22"/>
              </w:rPr>
            </w:pPr>
            <w:r>
              <w:rPr>
                <w:rFonts w:ascii="Arial" w:eastAsia="Arial" w:hAnsi="Arial" w:cs="Arial"/>
                <w:b/>
                <w:sz w:val="20"/>
                <w:szCs w:val="20"/>
              </w:rPr>
              <w:t>San Bernardino</w:t>
            </w:r>
          </w:p>
        </w:tc>
        <w:tc>
          <w:tcPr>
            <w:tcW w:w="2279"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2980A29C" w14:textId="77777777" w:rsidR="008638B7" w:rsidRDefault="008638B7">
            <w:pPr>
              <w:rPr>
                <w:rFonts w:ascii="Calibri" w:eastAsia="Calibri" w:hAnsi="Calibri" w:cs="Calibri"/>
                <w:sz w:val="22"/>
                <w:szCs w:val="22"/>
              </w:rPr>
            </w:pPr>
            <w:r>
              <w:rPr>
                <w:rFonts w:ascii="Arial" w:eastAsia="Arial" w:hAnsi="Arial" w:cs="Arial"/>
                <w:b/>
                <w:sz w:val="20"/>
                <w:szCs w:val="20"/>
              </w:rPr>
              <w:t>La Puente</w:t>
            </w:r>
          </w:p>
        </w:tc>
      </w:tr>
      <w:tr w:rsidR="008638B7" w14:paraId="55409E23" w14:textId="77777777" w:rsidTr="008638B7">
        <w:trPr>
          <w:trHeight w:val="440"/>
        </w:trPr>
        <w:tc>
          <w:tcPr>
            <w:tcW w:w="2547"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5E69945E" w14:textId="77777777" w:rsidR="008638B7" w:rsidRDefault="008638B7">
            <w:pPr>
              <w:rPr>
                <w:rFonts w:ascii="Calibri" w:eastAsia="Calibri" w:hAnsi="Calibri" w:cs="Calibri"/>
                <w:sz w:val="22"/>
                <w:szCs w:val="22"/>
              </w:rPr>
            </w:pPr>
            <w:r>
              <w:rPr>
                <w:rFonts w:ascii="Arial" w:eastAsia="Arial" w:hAnsi="Arial" w:cs="Arial"/>
                <w:b/>
                <w:sz w:val="20"/>
                <w:szCs w:val="20"/>
              </w:rPr>
              <w:t>DAC Coverage (tracts)</w:t>
            </w:r>
          </w:p>
        </w:tc>
        <w:tc>
          <w:tcPr>
            <w:tcW w:w="1617"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136DBE1B" w14:textId="77777777" w:rsidR="008638B7" w:rsidRDefault="008638B7">
            <w:pPr>
              <w:jc w:val="right"/>
              <w:rPr>
                <w:rFonts w:ascii="Calibri" w:eastAsia="Calibri" w:hAnsi="Calibri" w:cs="Calibri"/>
                <w:sz w:val="22"/>
                <w:szCs w:val="22"/>
              </w:rPr>
            </w:pPr>
            <w:r>
              <w:rPr>
                <w:rFonts w:ascii="Arial" w:eastAsia="Arial" w:hAnsi="Arial" w:cs="Arial"/>
                <w:sz w:val="20"/>
                <w:szCs w:val="20"/>
              </w:rPr>
              <w:t>83%</w:t>
            </w:r>
          </w:p>
        </w:tc>
        <w:tc>
          <w:tcPr>
            <w:tcW w:w="1808"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7422D11F" w14:textId="77777777" w:rsidR="008638B7" w:rsidRDefault="008638B7">
            <w:pPr>
              <w:jc w:val="right"/>
              <w:rPr>
                <w:rFonts w:ascii="Calibri" w:eastAsia="Calibri" w:hAnsi="Calibri" w:cs="Calibri"/>
                <w:sz w:val="22"/>
                <w:szCs w:val="22"/>
              </w:rPr>
            </w:pPr>
            <w:r>
              <w:rPr>
                <w:rFonts w:ascii="Arial" w:eastAsia="Arial" w:hAnsi="Arial" w:cs="Arial"/>
                <w:sz w:val="20"/>
                <w:szCs w:val="20"/>
              </w:rPr>
              <w:t>&gt;80%</w:t>
            </w:r>
          </w:p>
        </w:tc>
        <w:tc>
          <w:tcPr>
            <w:tcW w:w="2279"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76BD7EC1" w14:textId="77777777" w:rsidR="008638B7" w:rsidRDefault="008638B7">
            <w:pPr>
              <w:jc w:val="right"/>
              <w:rPr>
                <w:rFonts w:ascii="Calibri" w:eastAsia="Calibri" w:hAnsi="Calibri" w:cs="Calibri"/>
                <w:sz w:val="22"/>
                <w:szCs w:val="22"/>
              </w:rPr>
            </w:pPr>
            <w:r>
              <w:rPr>
                <w:rFonts w:ascii="Arial" w:eastAsia="Arial" w:hAnsi="Arial" w:cs="Arial"/>
                <w:sz w:val="20"/>
                <w:szCs w:val="20"/>
              </w:rPr>
              <w:t>88%</w:t>
            </w:r>
          </w:p>
        </w:tc>
      </w:tr>
      <w:tr w:rsidR="008638B7" w14:paraId="56DBF497" w14:textId="77777777" w:rsidTr="008638B7">
        <w:trPr>
          <w:trHeight w:val="440"/>
        </w:trPr>
        <w:tc>
          <w:tcPr>
            <w:tcW w:w="2547"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2AFF8A78" w14:textId="77777777" w:rsidR="008638B7" w:rsidRDefault="008638B7">
            <w:pPr>
              <w:rPr>
                <w:rFonts w:ascii="Calibri" w:eastAsia="Calibri" w:hAnsi="Calibri" w:cs="Calibri"/>
                <w:sz w:val="22"/>
                <w:szCs w:val="22"/>
              </w:rPr>
            </w:pPr>
            <w:r>
              <w:rPr>
                <w:rFonts w:ascii="Arial" w:eastAsia="Arial" w:hAnsi="Arial" w:cs="Arial"/>
                <w:b/>
                <w:sz w:val="20"/>
                <w:szCs w:val="20"/>
              </w:rPr>
              <w:t>Peaker plant</w:t>
            </w:r>
          </w:p>
        </w:tc>
        <w:tc>
          <w:tcPr>
            <w:tcW w:w="1617"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286FEAB2" w14:textId="77777777" w:rsidR="008638B7" w:rsidRDefault="008638B7">
            <w:pPr>
              <w:rPr>
                <w:rFonts w:ascii="Calibri" w:eastAsia="Calibri" w:hAnsi="Calibri" w:cs="Calibri"/>
                <w:sz w:val="22"/>
                <w:szCs w:val="22"/>
              </w:rPr>
            </w:pPr>
            <w:r>
              <w:rPr>
                <w:rFonts w:ascii="Arial" w:eastAsia="Arial" w:hAnsi="Arial" w:cs="Arial"/>
                <w:sz w:val="20"/>
                <w:szCs w:val="20"/>
              </w:rPr>
              <w:t>Century/</w:t>
            </w:r>
            <w:proofErr w:type="spellStart"/>
            <w:r>
              <w:rPr>
                <w:rFonts w:ascii="Arial" w:eastAsia="Arial" w:hAnsi="Arial" w:cs="Arial"/>
                <w:sz w:val="20"/>
                <w:szCs w:val="20"/>
              </w:rPr>
              <w:t>Drews</w:t>
            </w:r>
            <w:proofErr w:type="spellEnd"/>
          </w:p>
        </w:tc>
        <w:tc>
          <w:tcPr>
            <w:tcW w:w="1808"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688B84FB" w14:textId="77777777" w:rsidR="008638B7" w:rsidRDefault="008638B7">
            <w:pPr>
              <w:rPr>
                <w:rFonts w:ascii="Calibri" w:eastAsia="Calibri" w:hAnsi="Calibri" w:cs="Calibri"/>
                <w:sz w:val="22"/>
                <w:szCs w:val="22"/>
              </w:rPr>
            </w:pPr>
            <w:r>
              <w:rPr>
                <w:rFonts w:ascii="Arial" w:eastAsia="Arial" w:hAnsi="Arial" w:cs="Arial"/>
                <w:sz w:val="20"/>
                <w:szCs w:val="20"/>
              </w:rPr>
              <w:t>Century/</w:t>
            </w:r>
            <w:proofErr w:type="spellStart"/>
            <w:r>
              <w:rPr>
                <w:rFonts w:ascii="Arial" w:eastAsia="Arial" w:hAnsi="Arial" w:cs="Arial"/>
                <w:sz w:val="20"/>
                <w:szCs w:val="20"/>
              </w:rPr>
              <w:t>Drews</w:t>
            </w:r>
            <w:proofErr w:type="spellEnd"/>
          </w:p>
        </w:tc>
        <w:tc>
          <w:tcPr>
            <w:tcW w:w="2279"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4B79749D" w14:textId="77777777" w:rsidR="008638B7" w:rsidRDefault="008638B7">
            <w:pPr>
              <w:rPr>
                <w:rFonts w:ascii="Calibri" w:eastAsia="Calibri" w:hAnsi="Calibri" w:cs="Calibri"/>
                <w:sz w:val="22"/>
                <w:szCs w:val="22"/>
              </w:rPr>
            </w:pPr>
            <w:r>
              <w:rPr>
                <w:rFonts w:ascii="Arial" w:eastAsia="Arial" w:hAnsi="Arial" w:cs="Arial"/>
                <w:sz w:val="20"/>
                <w:szCs w:val="20"/>
              </w:rPr>
              <w:t>Walnut Creek Energy</w:t>
            </w:r>
          </w:p>
        </w:tc>
      </w:tr>
      <w:tr w:rsidR="008638B7" w14:paraId="753D0951" w14:textId="77777777" w:rsidTr="008638B7">
        <w:trPr>
          <w:trHeight w:val="220"/>
        </w:trPr>
        <w:tc>
          <w:tcPr>
            <w:tcW w:w="2547"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4F431CAC" w14:textId="77777777" w:rsidR="008638B7" w:rsidRDefault="008638B7">
            <w:pPr>
              <w:rPr>
                <w:rFonts w:ascii="Calibri" w:eastAsia="Calibri" w:hAnsi="Calibri" w:cs="Calibri"/>
                <w:sz w:val="22"/>
                <w:szCs w:val="22"/>
              </w:rPr>
            </w:pPr>
            <w:r>
              <w:rPr>
                <w:rFonts w:ascii="Arial" w:eastAsia="Arial" w:hAnsi="Arial" w:cs="Arial"/>
                <w:b/>
                <w:sz w:val="20"/>
                <w:szCs w:val="20"/>
              </w:rPr>
              <w:t>Avg. Poverty %-</w:t>
            </w:r>
            <w:proofErr w:type="spellStart"/>
            <w:r>
              <w:rPr>
                <w:rFonts w:ascii="Arial" w:eastAsia="Arial" w:hAnsi="Arial" w:cs="Arial"/>
                <w:b/>
                <w:sz w:val="20"/>
                <w:szCs w:val="20"/>
              </w:rPr>
              <w:t>ile</w:t>
            </w:r>
            <w:proofErr w:type="spellEnd"/>
          </w:p>
        </w:tc>
        <w:tc>
          <w:tcPr>
            <w:tcW w:w="1617"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5CAFC7D4" w14:textId="77777777" w:rsidR="008638B7" w:rsidRDefault="008638B7">
            <w:pPr>
              <w:jc w:val="right"/>
              <w:rPr>
                <w:rFonts w:ascii="Calibri" w:eastAsia="Calibri" w:hAnsi="Calibri" w:cs="Calibri"/>
                <w:sz w:val="22"/>
                <w:szCs w:val="22"/>
              </w:rPr>
            </w:pPr>
            <w:r>
              <w:rPr>
                <w:rFonts w:ascii="Arial" w:eastAsia="Arial" w:hAnsi="Arial" w:cs="Arial"/>
                <w:sz w:val="20"/>
                <w:szCs w:val="20"/>
              </w:rPr>
              <w:t>74%</w:t>
            </w:r>
          </w:p>
        </w:tc>
        <w:tc>
          <w:tcPr>
            <w:tcW w:w="1808"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5E91E595" w14:textId="77777777" w:rsidR="008638B7" w:rsidRDefault="008638B7">
            <w:pPr>
              <w:jc w:val="right"/>
              <w:rPr>
                <w:rFonts w:ascii="Calibri" w:eastAsia="Calibri" w:hAnsi="Calibri" w:cs="Calibri"/>
                <w:sz w:val="22"/>
                <w:szCs w:val="22"/>
              </w:rPr>
            </w:pPr>
            <w:r>
              <w:rPr>
                <w:rFonts w:ascii="Arial" w:eastAsia="Arial" w:hAnsi="Arial" w:cs="Arial"/>
                <w:sz w:val="20"/>
                <w:szCs w:val="20"/>
              </w:rPr>
              <w:t>81%</w:t>
            </w:r>
          </w:p>
        </w:tc>
        <w:tc>
          <w:tcPr>
            <w:tcW w:w="2279"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1E216F9B" w14:textId="77777777" w:rsidR="008638B7" w:rsidRDefault="008638B7">
            <w:pPr>
              <w:jc w:val="right"/>
              <w:rPr>
                <w:rFonts w:ascii="Calibri" w:eastAsia="Calibri" w:hAnsi="Calibri" w:cs="Calibri"/>
                <w:sz w:val="22"/>
                <w:szCs w:val="22"/>
              </w:rPr>
            </w:pPr>
            <w:r>
              <w:rPr>
                <w:rFonts w:ascii="Arial" w:eastAsia="Arial" w:hAnsi="Arial" w:cs="Arial"/>
                <w:sz w:val="20"/>
                <w:szCs w:val="20"/>
              </w:rPr>
              <w:t>62%</w:t>
            </w:r>
          </w:p>
        </w:tc>
      </w:tr>
      <w:tr w:rsidR="008638B7" w14:paraId="44EAF05C" w14:textId="77777777" w:rsidTr="008638B7">
        <w:trPr>
          <w:trHeight w:val="440"/>
        </w:trPr>
        <w:tc>
          <w:tcPr>
            <w:tcW w:w="2547"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419B6375" w14:textId="77777777" w:rsidR="008638B7" w:rsidRDefault="008638B7">
            <w:pPr>
              <w:rPr>
                <w:rFonts w:ascii="Calibri" w:eastAsia="Calibri" w:hAnsi="Calibri" w:cs="Calibri"/>
                <w:sz w:val="22"/>
                <w:szCs w:val="22"/>
              </w:rPr>
            </w:pPr>
            <w:r>
              <w:rPr>
                <w:rFonts w:ascii="Arial" w:eastAsia="Arial" w:hAnsi="Arial" w:cs="Arial"/>
                <w:b/>
                <w:sz w:val="20"/>
                <w:szCs w:val="20"/>
              </w:rPr>
              <w:t>Avg. Pollution Burden</w:t>
            </w:r>
          </w:p>
        </w:tc>
        <w:tc>
          <w:tcPr>
            <w:tcW w:w="1617"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0143633D" w14:textId="77777777" w:rsidR="008638B7" w:rsidRDefault="008638B7">
            <w:pPr>
              <w:jc w:val="right"/>
              <w:rPr>
                <w:rFonts w:ascii="Calibri" w:eastAsia="Calibri" w:hAnsi="Calibri" w:cs="Calibri"/>
                <w:sz w:val="22"/>
                <w:szCs w:val="22"/>
              </w:rPr>
            </w:pPr>
            <w:r>
              <w:rPr>
                <w:rFonts w:ascii="Arial" w:eastAsia="Arial" w:hAnsi="Arial" w:cs="Arial"/>
                <w:sz w:val="20"/>
                <w:szCs w:val="20"/>
              </w:rPr>
              <w:t>76%</w:t>
            </w:r>
          </w:p>
        </w:tc>
        <w:tc>
          <w:tcPr>
            <w:tcW w:w="1808"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1142C593" w14:textId="77777777" w:rsidR="008638B7" w:rsidRDefault="008638B7">
            <w:pPr>
              <w:jc w:val="right"/>
              <w:rPr>
                <w:rFonts w:ascii="Calibri" w:eastAsia="Calibri" w:hAnsi="Calibri" w:cs="Calibri"/>
                <w:sz w:val="22"/>
                <w:szCs w:val="22"/>
              </w:rPr>
            </w:pPr>
            <w:r>
              <w:rPr>
                <w:rFonts w:ascii="Arial" w:eastAsia="Arial" w:hAnsi="Arial" w:cs="Arial"/>
                <w:sz w:val="20"/>
                <w:szCs w:val="20"/>
              </w:rPr>
              <w:t>64%</w:t>
            </w:r>
          </w:p>
        </w:tc>
        <w:tc>
          <w:tcPr>
            <w:tcW w:w="2279" w:type="dxa"/>
            <w:tcBorders>
              <w:top w:val="single" w:sz="6" w:space="0" w:color="CCCCCC"/>
              <w:left w:val="single" w:sz="6" w:space="0" w:color="CCCCCC"/>
              <w:bottom w:val="single" w:sz="6" w:space="0" w:color="CCCCCC"/>
              <w:right w:val="single" w:sz="6" w:space="0" w:color="CCCCCC"/>
            </w:tcBorders>
            <w:shd w:val="clear" w:color="auto" w:fill="CCCCCC"/>
            <w:tcMar>
              <w:top w:w="80" w:type="dxa"/>
              <w:left w:w="80" w:type="dxa"/>
              <w:bottom w:w="80" w:type="dxa"/>
              <w:right w:w="80" w:type="dxa"/>
            </w:tcMar>
            <w:vAlign w:val="bottom"/>
          </w:tcPr>
          <w:p w14:paraId="49A24489" w14:textId="77777777" w:rsidR="008638B7" w:rsidRDefault="008638B7">
            <w:pPr>
              <w:jc w:val="right"/>
              <w:rPr>
                <w:rFonts w:ascii="Calibri" w:eastAsia="Calibri" w:hAnsi="Calibri" w:cs="Calibri"/>
                <w:sz w:val="22"/>
                <w:szCs w:val="22"/>
              </w:rPr>
            </w:pPr>
            <w:r>
              <w:rPr>
                <w:rFonts w:ascii="Arial" w:eastAsia="Arial" w:hAnsi="Arial" w:cs="Arial"/>
                <w:sz w:val="20"/>
                <w:szCs w:val="20"/>
              </w:rPr>
              <w:t>84%</w:t>
            </w:r>
          </w:p>
        </w:tc>
      </w:tr>
      <w:tr w:rsidR="008638B7" w14:paraId="0EF3B22D" w14:textId="77777777" w:rsidTr="008638B7">
        <w:trPr>
          <w:trHeight w:val="220"/>
        </w:trPr>
        <w:tc>
          <w:tcPr>
            <w:tcW w:w="2547" w:type="dxa"/>
            <w:tcBorders>
              <w:top w:val="single" w:sz="6" w:space="0" w:color="CCCCCC"/>
              <w:left w:val="single" w:sz="6" w:space="0" w:color="666666"/>
              <w:bottom w:val="single" w:sz="6" w:space="0" w:color="666666"/>
              <w:right w:val="single" w:sz="6" w:space="0" w:color="CCCCCC"/>
            </w:tcBorders>
            <w:shd w:val="clear" w:color="auto" w:fill="auto"/>
            <w:tcMar>
              <w:top w:w="80" w:type="dxa"/>
              <w:left w:w="80" w:type="dxa"/>
              <w:bottom w:w="80" w:type="dxa"/>
              <w:right w:w="80" w:type="dxa"/>
            </w:tcMar>
            <w:vAlign w:val="bottom"/>
          </w:tcPr>
          <w:p w14:paraId="0413D98F" w14:textId="77777777" w:rsidR="008638B7" w:rsidRDefault="008638B7">
            <w:pPr>
              <w:rPr>
                <w:rFonts w:ascii="Calibri" w:eastAsia="Calibri" w:hAnsi="Calibri" w:cs="Calibri"/>
                <w:sz w:val="22"/>
                <w:szCs w:val="22"/>
              </w:rPr>
            </w:pPr>
            <w:r>
              <w:rPr>
                <w:rFonts w:ascii="Arial" w:eastAsia="Arial" w:hAnsi="Arial" w:cs="Arial"/>
                <w:b/>
                <w:sz w:val="20"/>
                <w:szCs w:val="20"/>
              </w:rPr>
              <w:t>In a LCA?</w:t>
            </w:r>
          </w:p>
        </w:tc>
        <w:tc>
          <w:tcPr>
            <w:tcW w:w="1617" w:type="dxa"/>
            <w:tcBorders>
              <w:top w:val="single" w:sz="6" w:space="0" w:color="CCCCCC"/>
              <w:left w:val="single" w:sz="6" w:space="0" w:color="CCCCCC"/>
              <w:bottom w:val="single" w:sz="6" w:space="0" w:color="666666"/>
              <w:right w:val="single" w:sz="6" w:space="0" w:color="CCCCCC"/>
            </w:tcBorders>
            <w:shd w:val="clear" w:color="auto" w:fill="CCCCCC"/>
            <w:tcMar>
              <w:top w:w="80" w:type="dxa"/>
              <w:left w:w="80" w:type="dxa"/>
              <w:bottom w:w="80" w:type="dxa"/>
              <w:right w:w="80" w:type="dxa"/>
            </w:tcMar>
            <w:vAlign w:val="bottom"/>
          </w:tcPr>
          <w:p w14:paraId="088DF827" w14:textId="77777777" w:rsidR="008638B7" w:rsidRDefault="008638B7">
            <w:pPr>
              <w:jc w:val="right"/>
              <w:rPr>
                <w:rFonts w:ascii="Calibri" w:eastAsia="Calibri" w:hAnsi="Calibri" w:cs="Calibri"/>
                <w:sz w:val="22"/>
                <w:szCs w:val="22"/>
              </w:rPr>
            </w:pPr>
            <w:r>
              <w:rPr>
                <w:rFonts w:ascii="Arial" w:eastAsia="Arial" w:hAnsi="Arial" w:cs="Arial"/>
                <w:sz w:val="20"/>
                <w:szCs w:val="20"/>
              </w:rPr>
              <w:t>Yes</w:t>
            </w:r>
          </w:p>
        </w:tc>
        <w:tc>
          <w:tcPr>
            <w:tcW w:w="1808" w:type="dxa"/>
            <w:tcBorders>
              <w:top w:val="single" w:sz="6" w:space="0" w:color="CCCCCC"/>
              <w:left w:val="single" w:sz="6" w:space="0" w:color="CCCCCC"/>
              <w:bottom w:val="single" w:sz="6" w:space="0" w:color="666666"/>
              <w:right w:val="single" w:sz="6" w:space="0" w:color="CCCCCC"/>
            </w:tcBorders>
            <w:shd w:val="clear" w:color="auto" w:fill="CCCCCC"/>
            <w:tcMar>
              <w:top w:w="80" w:type="dxa"/>
              <w:left w:w="80" w:type="dxa"/>
              <w:bottom w:w="80" w:type="dxa"/>
              <w:right w:w="80" w:type="dxa"/>
            </w:tcMar>
            <w:vAlign w:val="bottom"/>
          </w:tcPr>
          <w:p w14:paraId="4975A24B" w14:textId="77777777" w:rsidR="008638B7" w:rsidRDefault="008638B7">
            <w:pPr>
              <w:jc w:val="right"/>
              <w:rPr>
                <w:rFonts w:ascii="Calibri" w:eastAsia="Calibri" w:hAnsi="Calibri" w:cs="Calibri"/>
                <w:sz w:val="22"/>
                <w:szCs w:val="22"/>
              </w:rPr>
            </w:pPr>
            <w:r>
              <w:rPr>
                <w:rFonts w:ascii="Arial" w:eastAsia="Arial" w:hAnsi="Arial" w:cs="Arial"/>
                <w:sz w:val="20"/>
                <w:szCs w:val="20"/>
              </w:rPr>
              <w:t>Yes</w:t>
            </w:r>
          </w:p>
        </w:tc>
        <w:tc>
          <w:tcPr>
            <w:tcW w:w="2279" w:type="dxa"/>
            <w:tcBorders>
              <w:top w:val="single" w:sz="6" w:space="0" w:color="CCCCCC"/>
              <w:left w:val="single" w:sz="6" w:space="0" w:color="CCCCCC"/>
              <w:bottom w:val="single" w:sz="6" w:space="0" w:color="666666"/>
              <w:right w:val="single" w:sz="6" w:space="0" w:color="CCCCCC"/>
            </w:tcBorders>
            <w:shd w:val="clear" w:color="auto" w:fill="CCCCCC"/>
            <w:tcMar>
              <w:top w:w="80" w:type="dxa"/>
              <w:left w:w="80" w:type="dxa"/>
              <w:bottom w:w="80" w:type="dxa"/>
              <w:right w:w="80" w:type="dxa"/>
            </w:tcMar>
            <w:vAlign w:val="bottom"/>
          </w:tcPr>
          <w:p w14:paraId="40E004F1" w14:textId="77777777" w:rsidR="008638B7" w:rsidRDefault="008638B7">
            <w:pPr>
              <w:jc w:val="right"/>
              <w:rPr>
                <w:rFonts w:ascii="Calibri" w:eastAsia="Calibri" w:hAnsi="Calibri" w:cs="Calibri"/>
                <w:sz w:val="22"/>
                <w:szCs w:val="22"/>
              </w:rPr>
            </w:pPr>
            <w:r>
              <w:rPr>
                <w:rFonts w:ascii="Arial" w:eastAsia="Arial" w:hAnsi="Arial" w:cs="Arial"/>
                <w:sz w:val="20"/>
                <w:szCs w:val="20"/>
              </w:rPr>
              <w:t>Yes</w:t>
            </w:r>
          </w:p>
        </w:tc>
      </w:tr>
    </w:tbl>
    <w:p w14:paraId="360726EA" w14:textId="77777777" w:rsidR="00D80F06" w:rsidRDefault="00D80F06">
      <w:pPr>
        <w:widowControl w:val="0"/>
        <w:spacing w:after="200"/>
        <w:rPr>
          <w:rFonts w:ascii="Arial" w:eastAsia="Arial" w:hAnsi="Arial" w:cs="Arial"/>
          <w:b/>
        </w:rPr>
      </w:pPr>
    </w:p>
    <w:p w14:paraId="4B6CAC2F" w14:textId="77777777" w:rsidR="00D80F06" w:rsidRDefault="00D80F06">
      <w:pPr>
        <w:spacing w:after="200"/>
        <w:rPr>
          <w:rFonts w:ascii="Arial" w:eastAsia="Arial" w:hAnsi="Arial" w:cs="Arial"/>
        </w:rPr>
      </w:pPr>
    </w:p>
    <w:p w14:paraId="2316645D" w14:textId="77777777" w:rsidR="00D80F06" w:rsidRDefault="00885FDA">
      <w:pPr>
        <w:spacing w:after="200"/>
        <w:rPr>
          <w:rFonts w:ascii="Arial" w:eastAsia="Arial" w:hAnsi="Arial" w:cs="Arial"/>
          <w:b/>
        </w:rPr>
      </w:pPr>
      <w:proofErr w:type="gramStart"/>
      <w:r>
        <w:rPr>
          <w:rFonts w:ascii="Arial" w:eastAsia="Arial" w:hAnsi="Arial" w:cs="Arial"/>
          <w:b/>
        </w:rPr>
        <w:t>Table 3.</w:t>
      </w:r>
      <w:proofErr w:type="gramEnd"/>
      <w:r>
        <w:rPr>
          <w:rFonts w:ascii="Arial" w:eastAsia="Arial" w:hAnsi="Arial" w:cs="Arial"/>
          <w:b/>
        </w:rPr>
        <w:t xml:space="preserve"> SDG&amp;E</w:t>
      </w:r>
    </w:p>
    <w:tbl>
      <w:tblPr>
        <w:tblStyle w:val="a5"/>
        <w:tblW w:w="471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224"/>
        <w:gridCol w:w="1180"/>
        <w:gridCol w:w="1313"/>
      </w:tblGrid>
      <w:tr w:rsidR="00D80F06" w14:paraId="79BE46B5" w14:textId="77777777">
        <w:trPr>
          <w:trHeight w:val="300"/>
        </w:trPr>
        <w:tc>
          <w:tcPr>
            <w:tcW w:w="2224" w:type="dxa"/>
            <w:tcBorders>
              <w:top w:val="single" w:sz="6" w:space="0" w:color="666666"/>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2D14FCBB" w14:textId="77777777" w:rsidR="00D80F06" w:rsidRDefault="00D80F06"/>
        </w:tc>
        <w:tc>
          <w:tcPr>
            <w:tcW w:w="1180" w:type="dxa"/>
            <w:tcBorders>
              <w:top w:val="single" w:sz="6" w:space="0" w:color="666666"/>
              <w:left w:val="single" w:sz="6" w:space="0" w:color="CCCCCC"/>
              <w:bottom w:val="single" w:sz="6" w:space="0" w:color="CCCCCC"/>
              <w:right w:val="single" w:sz="6" w:space="0" w:color="CCCCCC"/>
            </w:tcBorders>
            <w:shd w:val="clear" w:color="auto" w:fill="F3F3F3"/>
            <w:tcMar>
              <w:top w:w="80" w:type="dxa"/>
              <w:left w:w="80" w:type="dxa"/>
              <w:bottom w:w="80" w:type="dxa"/>
              <w:right w:w="80" w:type="dxa"/>
            </w:tcMar>
            <w:vAlign w:val="bottom"/>
          </w:tcPr>
          <w:p w14:paraId="19306D93" w14:textId="77777777" w:rsidR="00D80F06" w:rsidRDefault="00885FDA">
            <w:pPr>
              <w:rPr>
                <w:rFonts w:ascii="Calibri" w:eastAsia="Calibri" w:hAnsi="Calibri" w:cs="Calibri"/>
                <w:sz w:val="22"/>
                <w:szCs w:val="22"/>
              </w:rPr>
            </w:pPr>
            <w:r>
              <w:rPr>
                <w:rFonts w:ascii="Arial" w:eastAsia="Arial" w:hAnsi="Arial" w:cs="Arial"/>
                <w:b/>
                <w:sz w:val="20"/>
                <w:szCs w:val="20"/>
              </w:rPr>
              <w:t>SDG&amp;E*</w:t>
            </w:r>
          </w:p>
        </w:tc>
        <w:tc>
          <w:tcPr>
            <w:tcW w:w="1313" w:type="dxa"/>
            <w:tcBorders>
              <w:top w:val="single" w:sz="6" w:space="0" w:color="666666"/>
              <w:left w:val="single" w:sz="6" w:space="0" w:color="CCCCCC"/>
              <w:bottom w:val="single" w:sz="6" w:space="0" w:color="CCCCCC"/>
              <w:right w:val="single" w:sz="6" w:space="0" w:color="666666"/>
            </w:tcBorders>
            <w:shd w:val="clear" w:color="auto" w:fill="F3F3F3"/>
            <w:tcMar>
              <w:top w:w="80" w:type="dxa"/>
              <w:left w:w="80" w:type="dxa"/>
              <w:bottom w:w="80" w:type="dxa"/>
              <w:right w:w="80" w:type="dxa"/>
            </w:tcMar>
            <w:vAlign w:val="bottom"/>
          </w:tcPr>
          <w:p w14:paraId="71E8597F" w14:textId="77777777" w:rsidR="00D80F06" w:rsidRDefault="00D80F06"/>
        </w:tc>
      </w:tr>
      <w:tr w:rsidR="00D80F06" w14:paraId="3A812C62" w14:textId="77777777">
        <w:trPr>
          <w:trHeight w:val="440"/>
        </w:trPr>
        <w:tc>
          <w:tcPr>
            <w:tcW w:w="2224"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13AB8B69" w14:textId="77777777" w:rsidR="00D80F06" w:rsidRDefault="00D80F06"/>
        </w:tc>
        <w:tc>
          <w:tcPr>
            <w:tcW w:w="1180" w:type="dxa"/>
            <w:tcBorders>
              <w:top w:val="single" w:sz="6" w:space="0" w:color="CCCCCC"/>
              <w:left w:val="single" w:sz="6" w:space="0" w:color="CCCCCC"/>
              <w:bottom w:val="single" w:sz="6" w:space="0" w:color="CCCCCC"/>
              <w:right w:val="single" w:sz="6" w:space="0" w:color="CCCCCC"/>
            </w:tcBorders>
            <w:shd w:val="clear" w:color="auto" w:fill="F3F3F3"/>
            <w:tcMar>
              <w:top w:w="80" w:type="dxa"/>
              <w:left w:w="80" w:type="dxa"/>
              <w:bottom w:w="80" w:type="dxa"/>
              <w:right w:w="80" w:type="dxa"/>
            </w:tcMar>
            <w:vAlign w:val="bottom"/>
          </w:tcPr>
          <w:p w14:paraId="37100626" w14:textId="77777777" w:rsidR="00D80F06" w:rsidRDefault="00885FDA">
            <w:pPr>
              <w:rPr>
                <w:rFonts w:ascii="Calibri" w:eastAsia="Calibri" w:hAnsi="Calibri" w:cs="Calibri"/>
                <w:sz w:val="22"/>
                <w:szCs w:val="22"/>
              </w:rPr>
            </w:pPr>
            <w:r>
              <w:rPr>
                <w:rFonts w:ascii="Arial" w:eastAsia="Arial" w:hAnsi="Arial" w:cs="Arial"/>
                <w:b/>
                <w:sz w:val="20"/>
                <w:szCs w:val="20"/>
              </w:rPr>
              <w:t>Chula Vista</w:t>
            </w:r>
          </w:p>
        </w:tc>
        <w:tc>
          <w:tcPr>
            <w:tcW w:w="1313" w:type="dxa"/>
            <w:tcBorders>
              <w:top w:val="single" w:sz="6" w:space="0" w:color="CCCCCC"/>
              <w:left w:val="single" w:sz="6" w:space="0" w:color="CCCCCC"/>
              <w:bottom w:val="single" w:sz="6" w:space="0" w:color="CCCCCC"/>
              <w:right w:val="single" w:sz="6" w:space="0" w:color="666666"/>
            </w:tcBorders>
            <w:shd w:val="clear" w:color="auto" w:fill="F3F3F3"/>
            <w:tcMar>
              <w:top w:w="80" w:type="dxa"/>
              <w:left w:w="80" w:type="dxa"/>
              <w:bottom w:w="80" w:type="dxa"/>
              <w:right w:w="80" w:type="dxa"/>
            </w:tcMar>
            <w:vAlign w:val="bottom"/>
          </w:tcPr>
          <w:p w14:paraId="7CC8B2D2" w14:textId="77777777" w:rsidR="00D80F06" w:rsidRDefault="00885FDA">
            <w:pPr>
              <w:rPr>
                <w:rFonts w:ascii="Calibri" w:eastAsia="Calibri" w:hAnsi="Calibri" w:cs="Calibri"/>
                <w:sz w:val="22"/>
                <w:szCs w:val="22"/>
              </w:rPr>
            </w:pPr>
            <w:r>
              <w:rPr>
                <w:rFonts w:ascii="Arial" w:eastAsia="Arial" w:hAnsi="Arial" w:cs="Arial"/>
                <w:b/>
                <w:sz w:val="20"/>
                <w:szCs w:val="20"/>
              </w:rPr>
              <w:t>National City</w:t>
            </w:r>
          </w:p>
        </w:tc>
      </w:tr>
      <w:tr w:rsidR="00D80F06" w14:paraId="259D867A" w14:textId="77777777">
        <w:trPr>
          <w:trHeight w:val="440"/>
        </w:trPr>
        <w:tc>
          <w:tcPr>
            <w:tcW w:w="2224"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08907C74" w14:textId="77777777" w:rsidR="00D80F06" w:rsidRDefault="00885FDA">
            <w:pPr>
              <w:rPr>
                <w:rFonts w:ascii="Calibri" w:eastAsia="Calibri" w:hAnsi="Calibri" w:cs="Calibri"/>
                <w:sz w:val="22"/>
                <w:szCs w:val="22"/>
              </w:rPr>
            </w:pPr>
            <w:r>
              <w:rPr>
                <w:rFonts w:ascii="Arial" w:eastAsia="Arial" w:hAnsi="Arial" w:cs="Arial"/>
                <w:b/>
                <w:sz w:val="20"/>
                <w:szCs w:val="20"/>
              </w:rPr>
              <w:t>DAC Coverage (tracts)</w:t>
            </w:r>
          </w:p>
        </w:tc>
        <w:tc>
          <w:tcPr>
            <w:tcW w:w="1180" w:type="dxa"/>
            <w:tcBorders>
              <w:top w:val="single" w:sz="6" w:space="0" w:color="CCCCCC"/>
              <w:left w:val="single" w:sz="6" w:space="0" w:color="CCCCCC"/>
              <w:bottom w:val="single" w:sz="6" w:space="0" w:color="CCCCCC"/>
              <w:right w:val="single" w:sz="6" w:space="0" w:color="CCCCCC"/>
            </w:tcBorders>
            <w:shd w:val="clear" w:color="auto" w:fill="F3F3F3"/>
            <w:tcMar>
              <w:top w:w="80" w:type="dxa"/>
              <w:left w:w="80" w:type="dxa"/>
              <w:bottom w:w="80" w:type="dxa"/>
              <w:right w:w="80" w:type="dxa"/>
            </w:tcMar>
            <w:vAlign w:val="bottom"/>
          </w:tcPr>
          <w:p w14:paraId="2A03213E" w14:textId="77777777" w:rsidR="00D80F06" w:rsidRDefault="00885FDA">
            <w:pPr>
              <w:jc w:val="right"/>
              <w:rPr>
                <w:rFonts w:ascii="Calibri" w:eastAsia="Calibri" w:hAnsi="Calibri" w:cs="Calibri"/>
                <w:sz w:val="22"/>
                <w:szCs w:val="22"/>
              </w:rPr>
            </w:pPr>
            <w:r>
              <w:rPr>
                <w:rFonts w:ascii="Arial" w:eastAsia="Arial" w:hAnsi="Arial" w:cs="Arial"/>
                <w:sz w:val="20"/>
                <w:szCs w:val="20"/>
              </w:rPr>
              <w:t>100%</w:t>
            </w:r>
          </w:p>
        </w:tc>
        <w:tc>
          <w:tcPr>
            <w:tcW w:w="1313" w:type="dxa"/>
            <w:tcBorders>
              <w:top w:val="single" w:sz="6" w:space="0" w:color="CCCCCC"/>
              <w:left w:val="single" w:sz="6" w:space="0" w:color="CCCCCC"/>
              <w:bottom w:val="single" w:sz="6" w:space="0" w:color="CCCCCC"/>
              <w:right w:val="single" w:sz="6" w:space="0" w:color="666666"/>
            </w:tcBorders>
            <w:shd w:val="clear" w:color="auto" w:fill="F3F3F3"/>
            <w:tcMar>
              <w:top w:w="80" w:type="dxa"/>
              <w:left w:w="80" w:type="dxa"/>
              <w:bottom w:w="80" w:type="dxa"/>
              <w:right w:w="80" w:type="dxa"/>
            </w:tcMar>
            <w:vAlign w:val="bottom"/>
          </w:tcPr>
          <w:p w14:paraId="551F1CB7" w14:textId="77777777" w:rsidR="00D80F06" w:rsidRDefault="00885FDA">
            <w:pPr>
              <w:jc w:val="right"/>
              <w:rPr>
                <w:rFonts w:ascii="Calibri" w:eastAsia="Calibri" w:hAnsi="Calibri" w:cs="Calibri"/>
                <w:sz w:val="22"/>
                <w:szCs w:val="22"/>
              </w:rPr>
            </w:pPr>
            <w:r>
              <w:rPr>
                <w:rFonts w:ascii="Arial" w:eastAsia="Arial" w:hAnsi="Arial" w:cs="Arial"/>
                <w:sz w:val="20"/>
                <w:szCs w:val="20"/>
              </w:rPr>
              <w:t>100%</w:t>
            </w:r>
          </w:p>
        </w:tc>
      </w:tr>
      <w:tr w:rsidR="00D80F06" w14:paraId="491FEFE7" w14:textId="77777777">
        <w:trPr>
          <w:trHeight w:val="220"/>
        </w:trPr>
        <w:tc>
          <w:tcPr>
            <w:tcW w:w="2224"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273CC2AD" w14:textId="77777777" w:rsidR="00D80F06" w:rsidRDefault="00885FDA">
            <w:pPr>
              <w:rPr>
                <w:rFonts w:ascii="Calibri" w:eastAsia="Calibri" w:hAnsi="Calibri" w:cs="Calibri"/>
                <w:sz w:val="22"/>
                <w:szCs w:val="22"/>
              </w:rPr>
            </w:pPr>
            <w:r>
              <w:rPr>
                <w:rFonts w:ascii="Arial" w:eastAsia="Arial" w:hAnsi="Arial" w:cs="Arial"/>
                <w:b/>
                <w:sz w:val="20"/>
                <w:szCs w:val="20"/>
              </w:rPr>
              <w:t>Peaker Plant</w:t>
            </w:r>
          </w:p>
        </w:tc>
        <w:tc>
          <w:tcPr>
            <w:tcW w:w="1180" w:type="dxa"/>
            <w:tcBorders>
              <w:top w:val="single" w:sz="6" w:space="0" w:color="CCCCCC"/>
              <w:left w:val="single" w:sz="6" w:space="0" w:color="CCCCCC"/>
              <w:bottom w:val="single" w:sz="6" w:space="0" w:color="CCCCCC"/>
              <w:right w:val="single" w:sz="6" w:space="0" w:color="CCCCCC"/>
            </w:tcBorders>
            <w:shd w:val="clear" w:color="auto" w:fill="F3F3F3"/>
            <w:tcMar>
              <w:top w:w="80" w:type="dxa"/>
              <w:left w:w="80" w:type="dxa"/>
              <w:bottom w:w="80" w:type="dxa"/>
              <w:right w:w="80" w:type="dxa"/>
            </w:tcMar>
            <w:vAlign w:val="bottom"/>
          </w:tcPr>
          <w:p w14:paraId="61051DD8" w14:textId="77777777" w:rsidR="00D80F06" w:rsidRDefault="00885FDA">
            <w:pPr>
              <w:rPr>
                <w:rFonts w:ascii="Calibri" w:eastAsia="Calibri" w:hAnsi="Calibri" w:cs="Calibri"/>
                <w:sz w:val="22"/>
                <w:szCs w:val="22"/>
              </w:rPr>
            </w:pPr>
            <w:r>
              <w:rPr>
                <w:rFonts w:ascii="Arial" w:eastAsia="Arial" w:hAnsi="Arial" w:cs="Arial"/>
                <w:sz w:val="20"/>
                <w:szCs w:val="20"/>
              </w:rPr>
              <w:t>South Bay</w:t>
            </w:r>
          </w:p>
        </w:tc>
        <w:tc>
          <w:tcPr>
            <w:tcW w:w="1313" w:type="dxa"/>
            <w:tcBorders>
              <w:top w:val="single" w:sz="6" w:space="0" w:color="CCCCCC"/>
              <w:left w:val="single" w:sz="6" w:space="0" w:color="CCCCCC"/>
              <w:bottom w:val="single" w:sz="6" w:space="0" w:color="CCCCCC"/>
              <w:right w:val="single" w:sz="6" w:space="0" w:color="666666"/>
            </w:tcBorders>
            <w:shd w:val="clear" w:color="auto" w:fill="F3F3F3"/>
            <w:tcMar>
              <w:top w:w="80" w:type="dxa"/>
              <w:left w:w="80" w:type="dxa"/>
              <w:bottom w:w="80" w:type="dxa"/>
              <w:right w:w="80" w:type="dxa"/>
            </w:tcMar>
            <w:vAlign w:val="bottom"/>
          </w:tcPr>
          <w:p w14:paraId="1C56CDC0" w14:textId="77777777" w:rsidR="00D80F06" w:rsidRDefault="00885FDA">
            <w:pPr>
              <w:rPr>
                <w:rFonts w:ascii="Calibri" w:eastAsia="Calibri" w:hAnsi="Calibri" w:cs="Calibri"/>
                <w:sz w:val="22"/>
                <w:szCs w:val="22"/>
              </w:rPr>
            </w:pPr>
            <w:r>
              <w:rPr>
                <w:rFonts w:ascii="Arial" w:eastAsia="Arial" w:hAnsi="Arial" w:cs="Arial"/>
                <w:sz w:val="20"/>
                <w:szCs w:val="20"/>
              </w:rPr>
              <w:t>South Bay</w:t>
            </w:r>
          </w:p>
        </w:tc>
      </w:tr>
      <w:tr w:rsidR="00D80F06" w14:paraId="34A4519D" w14:textId="77777777">
        <w:trPr>
          <w:trHeight w:val="220"/>
        </w:trPr>
        <w:tc>
          <w:tcPr>
            <w:tcW w:w="2224"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694350C0" w14:textId="77777777" w:rsidR="00D80F06" w:rsidRDefault="00885FDA">
            <w:pPr>
              <w:rPr>
                <w:rFonts w:ascii="Calibri" w:eastAsia="Calibri" w:hAnsi="Calibri" w:cs="Calibri"/>
                <w:sz w:val="22"/>
                <w:szCs w:val="22"/>
              </w:rPr>
            </w:pPr>
            <w:r>
              <w:rPr>
                <w:rFonts w:ascii="Arial" w:eastAsia="Arial" w:hAnsi="Arial" w:cs="Arial"/>
                <w:b/>
                <w:sz w:val="20"/>
                <w:szCs w:val="20"/>
              </w:rPr>
              <w:t>Avg. Poverty %-</w:t>
            </w:r>
            <w:proofErr w:type="spellStart"/>
            <w:r>
              <w:rPr>
                <w:rFonts w:ascii="Arial" w:eastAsia="Arial" w:hAnsi="Arial" w:cs="Arial"/>
                <w:b/>
                <w:sz w:val="20"/>
                <w:szCs w:val="20"/>
              </w:rPr>
              <w:t>ile</w:t>
            </w:r>
            <w:proofErr w:type="spellEnd"/>
          </w:p>
        </w:tc>
        <w:tc>
          <w:tcPr>
            <w:tcW w:w="1180" w:type="dxa"/>
            <w:tcBorders>
              <w:top w:val="single" w:sz="6" w:space="0" w:color="CCCCCC"/>
              <w:left w:val="single" w:sz="6" w:space="0" w:color="CCCCCC"/>
              <w:bottom w:val="single" w:sz="6" w:space="0" w:color="CCCCCC"/>
              <w:right w:val="single" w:sz="6" w:space="0" w:color="CCCCCC"/>
            </w:tcBorders>
            <w:shd w:val="clear" w:color="auto" w:fill="F3F3F3"/>
            <w:tcMar>
              <w:top w:w="80" w:type="dxa"/>
              <w:left w:w="80" w:type="dxa"/>
              <w:bottom w:w="80" w:type="dxa"/>
              <w:right w:w="80" w:type="dxa"/>
            </w:tcMar>
            <w:vAlign w:val="bottom"/>
          </w:tcPr>
          <w:p w14:paraId="567DBBCD" w14:textId="77777777" w:rsidR="00D80F06" w:rsidRDefault="00885FDA">
            <w:pPr>
              <w:jc w:val="right"/>
              <w:rPr>
                <w:rFonts w:ascii="Calibri" w:eastAsia="Calibri" w:hAnsi="Calibri" w:cs="Calibri"/>
                <w:sz w:val="22"/>
                <w:szCs w:val="22"/>
              </w:rPr>
            </w:pPr>
            <w:r>
              <w:rPr>
                <w:rFonts w:ascii="Arial" w:eastAsia="Arial" w:hAnsi="Arial" w:cs="Arial"/>
                <w:sz w:val="20"/>
                <w:szCs w:val="20"/>
              </w:rPr>
              <w:t>81%</w:t>
            </w:r>
          </w:p>
        </w:tc>
        <w:tc>
          <w:tcPr>
            <w:tcW w:w="1313" w:type="dxa"/>
            <w:tcBorders>
              <w:top w:val="single" w:sz="6" w:space="0" w:color="CCCCCC"/>
              <w:left w:val="single" w:sz="6" w:space="0" w:color="CCCCCC"/>
              <w:bottom w:val="single" w:sz="6" w:space="0" w:color="CCCCCC"/>
              <w:right w:val="single" w:sz="6" w:space="0" w:color="666666"/>
            </w:tcBorders>
            <w:shd w:val="clear" w:color="auto" w:fill="F3F3F3"/>
            <w:tcMar>
              <w:top w:w="80" w:type="dxa"/>
              <w:left w:w="80" w:type="dxa"/>
              <w:bottom w:w="80" w:type="dxa"/>
              <w:right w:w="80" w:type="dxa"/>
            </w:tcMar>
            <w:vAlign w:val="bottom"/>
          </w:tcPr>
          <w:p w14:paraId="309A9073" w14:textId="77777777" w:rsidR="00D80F06" w:rsidRDefault="00885FDA">
            <w:pPr>
              <w:jc w:val="right"/>
              <w:rPr>
                <w:rFonts w:ascii="Calibri" w:eastAsia="Calibri" w:hAnsi="Calibri" w:cs="Calibri"/>
                <w:sz w:val="22"/>
                <w:szCs w:val="22"/>
              </w:rPr>
            </w:pPr>
            <w:r>
              <w:rPr>
                <w:rFonts w:ascii="Arial" w:eastAsia="Arial" w:hAnsi="Arial" w:cs="Arial"/>
                <w:sz w:val="20"/>
                <w:szCs w:val="20"/>
              </w:rPr>
              <w:t>84%</w:t>
            </w:r>
          </w:p>
        </w:tc>
      </w:tr>
      <w:tr w:rsidR="00D80F06" w14:paraId="286D373F" w14:textId="77777777">
        <w:trPr>
          <w:trHeight w:val="440"/>
        </w:trPr>
        <w:tc>
          <w:tcPr>
            <w:tcW w:w="2224" w:type="dxa"/>
            <w:tcBorders>
              <w:top w:val="single" w:sz="6" w:space="0" w:color="CCCCCC"/>
              <w:left w:val="single" w:sz="6" w:space="0" w:color="666666"/>
              <w:bottom w:val="single" w:sz="6" w:space="0" w:color="CCCCCC"/>
              <w:right w:val="single" w:sz="6" w:space="0" w:color="CCCCCC"/>
            </w:tcBorders>
            <w:shd w:val="clear" w:color="auto" w:fill="auto"/>
            <w:tcMar>
              <w:top w:w="80" w:type="dxa"/>
              <w:left w:w="80" w:type="dxa"/>
              <w:bottom w:w="80" w:type="dxa"/>
              <w:right w:w="80" w:type="dxa"/>
            </w:tcMar>
            <w:vAlign w:val="bottom"/>
          </w:tcPr>
          <w:p w14:paraId="1EDBB29A" w14:textId="77777777" w:rsidR="00D80F06" w:rsidRDefault="00885FDA">
            <w:pPr>
              <w:rPr>
                <w:rFonts w:ascii="Calibri" w:eastAsia="Calibri" w:hAnsi="Calibri" w:cs="Calibri"/>
                <w:sz w:val="22"/>
                <w:szCs w:val="22"/>
              </w:rPr>
            </w:pPr>
            <w:r>
              <w:rPr>
                <w:rFonts w:ascii="Arial" w:eastAsia="Arial" w:hAnsi="Arial" w:cs="Arial"/>
                <w:b/>
                <w:sz w:val="20"/>
                <w:szCs w:val="20"/>
              </w:rPr>
              <w:t>Avg. Pollution Burden</w:t>
            </w:r>
          </w:p>
        </w:tc>
        <w:tc>
          <w:tcPr>
            <w:tcW w:w="1180" w:type="dxa"/>
            <w:tcBorders>
              <w:top w:val="single" w:sz="6" w:space="0" w:color="CCCCCC"/>
              <w:left w:val="single" w:sz="6" w:space="0" w:color="CCCCCC"/>
              <w:bottom w:val="single" w:sz="6" w:space="0" w:color="CCCCCC"/>
              <w:right w:val="single" w:sz="6" w:space="0" w:color="CCCCCC"/>
            </w:tcBorders>
            <w:shd w:val="clear" w:color="auto" w:fill="F3F3F3"/>
            <w:tcMar>
              <w:top w:w="80" w:type="dxa"/>
              <w:left w:w="80" w:type="dxa"/>
              <w:bottom w:w="80" w:type="dxa"/>
              <w:right w:w="80" w:type="dxa"/>
            </w:tcMar>
            <w:vAlign w:val="bottom"/>
          </w:tcPr>
          <w:p w14:paraId="6D5F8B1E" w14:textId="77777777" w:rsidR="00D80F06" w:rsidRDefault="00885FDA">
            <w:pPr>
              <w:jc w:val="right"/>
              <w:rPr>
                <w:rFonts w:ascii="Calibri" w:eastAsia="Calibri" w:hAnsi="Calibri" w:cs="Calibri"/>
                <w:sz w:val="22"/>
                <w:szCs w:val="22"/>
              </w:rPr>
            </w:pPr>
            <w:r>
              <w:rPr>
                <w:rFonts w:ascii="Arial" w:eastAsia="Arial" w:hAnsi="Arial" w:cs="Arial"/>
                <w:sz w:val="20"/>
                <w:szCs w:val="20"/>
              </w:rPr>
              <w:t>73%</w:t>
            </w:r>
          </w:p>
        </w:tc>
        <w:tc>
          <w:tcPr>
            <w:tcW w:w="1313" w:type="dxa"/>
            <w:tcBorders>
              <w:top w:val="single" w:sz="6" w:space="0" w:color="CCCCCC"/>
              <w:left w:val="single" w:sz="6" w:space="0" w:color="CCCCCC"/>
              <w:bottom w:val="single" w:sz="6" w:space="0" w:color="CCCCCC"/>
              <w:right w:val="single" w:sz="6" w:space="0" w:color="666666"/>
            </w:tcBorders>
            <w:shd w:val="clear" w:color="auto" w:fill="F3F3F3"/>
            <w:tcMar>
              <w:top w:w="80" w:type="dxa"/>
              <w:left w:w="80" w:type="dxa"/>
              <w:bottom w:w="80" w:type="dxa"/>
              <w:right w:w="80" w:type="dxa"/>
            </w:tcMar>
            <w:vAlign w:val="bottom"/>
          </w:tcPr>
          <w:p w14:paraId="0569018D" w14:textId="77777777" w:rsidR="00D80F06" w:rsidRDefault="00885FDA">
            <w:pPr>
              <w:jc w:val="right"/>
              <w:rPr>
                <w:rFonts w:ascii="Calibri" w:eastAsia="Calibri" w:hAnsi="Calibri" w:cs="Calibri"/>
                <w:sz w:val="22"/>
                <w:szCs w:val="22"/>
              </w:rPr>
            </w:pPr>
            <w:r>
              <w:rPr>
                <w:rFonts w:ascii="Arial" w:eastAsia="Arial" w:hAnsi="Arial" w:cs="Arial"/>
                <w:sz w:val="20"/>
                <w:szCs w:val="20"/>
              </w:rPr>
              <w:t>66%</w:t>
            </w:r>
          </w:p>
        </w:tc>
      </w:tr>
      <w:tr w:rsidR="00D80F06" w14:paraId="52D733A4" w14:textId="77777777">
        <w:trPr>
          <w:trHeight w:val="220"/>
        </w:trPr>
        <w:tc>
          <w:tcPr>
            <w:tcW w:w="2224" w:type="dxa"/>
            <w:tcBorders>
              <w:top w:val="single" w:sz="6" w:space="0" w:color="CCCCCC"/>
              <w:left w:val="single" w:sz="6" w:space="0" w:color="666666"/>
              <w:bottom w:val="single" w:sz="6" w:space="0" w:color="666666"/>
              <w:right w:val="single" w:sz="6" w:space="0" w:color="CCCCCC"/>
            </w:tcBorders>
            <w:shd w:val="clear" w:color="auto" w:fill="auto"/>
            <w:tcMar>
              <w:top w:w="80" w:type="dxa"/>
              <w:left w:w="80" w:type="dxa"/>
              <w:bottom w:w="80" w:type="dxa"/>
              <w:right w:w="80" w:type="dxa"/>
            </w:tcMar>
            <w:vAlign w:val="bottom"/>
          </w:tcPr>
          <w:p w14:paraId="00ED2822" w14:textId="77777777" w:rsidR="00D80F06" w:rsidRDefault="00885FDA">
            <w:pPr>
              <w:rPr>
                <w:rFonts w:ascii="Calibri" w:eastAsia="Calibri" w:hAnsi="Calibri" w:cs="Calibri"/>
                <w:sz w:val="22"/>
                <w:szCs w:val="22"/>
              </w:rPr>
            </w:pPr>
            <w:r>
              <w:rPr>
                <w:rFonts w:ascii="Arial" w:eastAsia="Arial" w:hAnsi="Arial" w:cs="Arial"/>
                <w:b/>
                <w:sz w:val="20"/>
                <w:szCs w:val="20"/>
              </w:rPr>
              <w:t>In a LCA?</w:t>
            </w:r>
          </w:p>
        </w:tc>
        <w:tc>
          <w:tcPr>
            <w:tcW w:w="1180" w:type="dxa"/>
            <w:tcBorders>
              <w:top w:val="single" w:sz="6" w:space="0" w:color="CCCCCC"/>
              <w:left w:val="single" w:sz="6" w:space="0" w:color="CCCCCC"/>
              <w:bottom w:val="single" w:sz="6" w:space="0" w:color="666666"/>
              <w:right w:val="single" w:sz="6" w:space="0" w:color="CCCCCC"/>
            </w:tcBorders>
            <w:shd w:val="clear" w:color="auto" w:fill="EFEFEF"/>
            <w:tcMar>
              <w:top w:w="80" w:type="dxa"/>
              <w:left w:w="80" w:type="dxa"/>
              <w:bottom w:w="80" w:type="dxa"/>
              <w:right w:w="80" w:type="dxa"/>
            </w:tcMar>
            <w:vAlign w:val="bottom"/>
          </w:tcPr>
          <w:p w14:paraId="25295554" w14:textId="77777777" w:rsidR="00D80F06" w:rsidRDefault="00885FDA">
            <w:pPr>
              <w:jc w:val="right"/>
              <w:rPr>
                <w:rFonts w:ascii="Calibri" w:eastAsia="Calibri" w:hAnsi="Calibri" w:cs="Calibri"/>
                <w:sz w:val="22"/>
                <w:szCs w:val="22"/>
              </w:rPr>
            </w:pPr>
            <w:r>
              <w:rPr>
                <w:rFonts w:ascii="Arial" w:eastAsia="Arial" w:hAnsi="Arial" w:cs="Arial"/>
                <w:sz w:val="20"/>
                <w:szCs w:val="20"/>
              </w:rPr>
              <w:t>Yes</w:t>
            </w:r>
          </w:p>
        </w:tc>
        <w:tc>
          <w:tcPr>
            <w:tcW w:w="1313" w:type="dxa"/>
            <w:tcBorders>
              <w:top w:val="single" w:sz="6" w:space="0" w:color="CCCCCC"/>
              <w:left w:val="single" w:sz="6" w:space="0" w:color="CCCCCC"/>
              <w:bottom w:val="single" w:sz="6" w:space="0" w:color="666666"/>
              <w:right w:val="single" w:sz="6" w:space="0" w:color="666666"/>
            </w:tcBorders>
            <w:shd w:val="clear" w:color="auto" w:fill="EFEFEF"/>
            <w:tcMar>
              <w:top w:w="80" w:type="dxa"/>
              <w:left w:w="80" w:type="dxa"/>
              <w:bottom w:w="80" w:type="dxa"/>
              <w:right w:w="80" w:type="dxa"/>
            </w:tcMar>
            <w:vAlign w:val="bottom"/>
          </w:tcPr>
          <w:p w14:paraId="3DBB3B1A" w14:textId="77777777" w:rsidR="00D80F06" w:rsidRDefault="00885FDA">
            <w:pPr>
              <w:jc w:val="right"/>
              <w:rPr>
                <w:rFonts w:ascii="Calibri" w:eastAsia="Calibri" w:hAnsi="Calibri" w:cs="Calibri"/>
                <w:sz w:val="22"/>
                <w:szCs w:val="22"/>
              </w:rPr>
            </w:pPr>
            <w:r>
              <w:rPr>
                <w:rFonts w:ascii="Arial" w:eastAsia="Arial" w:hAnsi="Arial" w:cs="Arial"/>
                <w:sz w:val="20"/>
                <w:szCs w:val="20"/>
              </w:rPr>
              <w:t>Yes</w:t>
            </w:r>
          </w:p>
        </w:tc>
      </w:tr>
    </w:tbl>
    <w:p w14:paraId="24E4FEFC" w14:textId="77777777" w:rsidR="00D80F06" w:rsidRDefault="00D80F06">
      <w:pPr>
        <w:widowControl w:val="0"/>
        <w:spacing w:after="200"/>
        <w:rPr>
          <w:rFonts w:ascii="Arial" w:eastAsia="Arial" w:hAnsi="Arial" w:cs="Arial"/>
          <w:b/>
        </w:rPr>
      </w:pPr>
    </w:p>
    <w:p w14:paraId="0016CC50" w14:textId="77777777" w:rsidR="00D80F06" w:rsidRDefault="00D80F06">
      <w:pPr>
        <w:spacing w:after="200" w:line="480" w:lineRule="auto"/>
        <w:rPr>
          <w:rFonts w:ascii="Arial" w:eastAsia="Arial" w:hAnsi="Arial" w:cs="Arial"/>
        </w:rPr>
      </w:pPr>
    </w:p>
    <w:p w14:paraId="05A8C679" w14:textId="77777777" w:rsidR="00D80F06" w:rsidRDefault="00885FDA">
      <w:pPr>
        <w:spacing w:after="200" w:line="480" w:lineRule="auto"/>
        <w:rPr>
          <w:rFonts w:ascii="Arial" w:eastAsia="Arial" w:hAnsi="Arial" w:cs="Arial"/>
        </w:rPr>
      </w:pPr>
      <w:r>
        <w:rPr>
          <w:rFonts w:ascii="Arial" w:eastAsia="Arial" w:hAnsi="Arial" w:cs="Arial"/>
        </w:rPr>
        <w:t xml:space="preserve">*Data pulled from </w:t>
      </w:r>
      <w:proofErr w:type="spellStart"/>
      <w:r>
        <w:rPr>
          <w:rFonts w:ascii="Arial" w:eastAsia="Arial" w:hAnsi="Arial" w:cs="Arial"/>
        </w:rPr>
        <w:t>CalEnviroScreen</w:t>
      </w:r>
      <w:proofErr w:type="spellEnd"/>
      <w:r>
        <w:rPr>
          <w:rFonts w:ascii="Arial" w:eastAsia="Arial" w:hAnsi="Arial" w:cs="Arial"/>
        </w:rPr>
        <w:t xml:space="preserve"> 3.0 and maps of Jurisdictional Peaker Plants produced by the California Energy Commission.</w:t>
      </w:r>
    </w:p>
    <w:p w14:paraId="36D2C648" w14:textId="77777777" w:rsidR="00D80F06" w:rsidRDefault="00D80F06">
      <w:pPr>
        <w:spacing w:after="200" w:line="480" w:lineRule="auto"/>
        <w:rPr>
          <w:rFonts w:ascii="Arial" w:eastAsia="Arial" w:hAnsi="Arial" w:cs="Arial"/>
        </w:rPr>
      </w:pPr>
    </w:p>
    <w:p w14:paraId="4F0D93BD" w14:textId="77777777" w:rsidR="00D80F06" w:rsidRDefault="00885FDA">
      <w:pPr>
        <w:spacing w:after="200" w:line="480" w:lineRule="auto"/>
        <w:rPr>
          <w:rFonts w:ascii="Arial" w:eastAsia="Arial" w:hAnsi="Arial" w:cs="Arial"/>
        </w:rPr>
      </w:pPr>
      <w:proofErr w:type="gramStart"/>
      <w:r>
        <w:rPr>
          <w:rFonts w:ascii="Arial" w:eastAsia="Arial" w:hAnsi="Arial" w:cs="Arial"/>
          <w:b/>
        </w:rPr>
        <w:lastRenderedPageBreak/>
        <w:t>Figure 1.</w:t>
      </w:r>
      <w:proofErr w:type="gramEnd"/>
      <w:r>
        <w:rPr>
          <w:rFonts w:ascii="Arial" w:eastAsia="Arial" w:hAnsi="Arial" w:cs="Arial"/>
          <w:b/>
        </w:rPr>
        <w:t xml:space="preserve"> Map Overlay of Local Reliability Areas and Disadvantaged Communities*</w:t>
      </w:r>
      <w:r>
        <w:rPr>
          <w:rFonts w:ascii="Arial" w:eastAsia="Arial" w:hAnsi="Arial" w:cs="Arial"/>
          <w:noProof/>
        </w:rPr>
        <w:drawing>
          <wp:inline distT="0" distB="0" distL="0" distR="0" wp14:anchorId="53C95D03" wp14:editId="6F02283F">
            <wp:extent cx="5209953" cy="6742325"/>
            <wp:effectExtent l="0" t="0" r="0" b="0"/>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5209953" cy="6742325"/>
                    </a:xfrm>
                    <a:prstGeom prst="rect">
                      <a:avLst/>
                    </a:prstGeom>
                    <a:ln/>
                  </pic:spPr>
                </pic:pic>
              </a:graphicData>
            </a:graphic>
          </wp:inline>
        </w:drawing>
      </w:r>
    </w:p>
    <w:p w14:paraId="56E98A48" w14:textId="77777777" w:rsidR="00D80F06" w:rsidRDefault="00D80F06">
      <w:pPr>
        <w:spacing w:after="200" w:line="480" w:lineRule="auto"/>
        <w:rPr>
          <w:rFonts w:ascii="Arial" w:eastAsia="Arial" w:hAnsi="Arial" w:cs="Arial"/>
        </w:rPr>
      </w:pPr>
    </w:p>
    <w:p w14:paraId="586AD714" w14:textId="77777777" w:rsidR="00D80F06" w:rsidRDefault="00D80F06">
      <w:pPr>
        <w:spacing w:after="200" w:line="480" w:lineRule="auto"/>
        <w:rPr>
          <w:rFonts w:ascii="Arial" w:eastAsia="Arial" w:hAnsi="Arial" w:cs="Arial"/>
        </w:rPr>
      </w:pPr>
    </w:p>
    <w:p w14:paraId="15C9FBD3" w14:textId="77777777" w:rsidR="00D80F06" w:rsidRDefault="00885FDA">
      <w:pPr>
        <w:spacing w:after="200" w:line="480" w:lineRule="auto"/>
        <w:rPr>
          <w:rFonts w:ascii="Arial" w:eastAsia="Arial" w:hAnsi="Arial" w:cs="Arial"/>
          <w:b/>
        </w:rPr>
      </w:pPr>
      <w:proofErr w:type="gramStart"/>
      <w:r>
        <w:rPr>
          <w:rFonts w:ascii="Arial" w:eastAsia="Arial" w:hAnsi="Arial" w:cs="Arial"/>
          <w:b/>
        </w:rPr>
        <w:t>Figure 2.</w:t>
      </w:r>
      <w:proofErr w:type="gramEnd"/>
      <w:r>
        <w:rPr>
          <w:rFonts w:ascii="Arial" w:eastAsia="Arial" w:hAnsi="Arial" w:cs="Arial"/>
          <w:b/>
        </w:rPr>
        <w:t xml:space="preserve"> Map Overlay of Gas Peaker Plant Facilities and Local Reliability Areas*</w:t>
      </w:r>
    </w:p>
    <w:p w14:paraId="00CE942A" w14:textId="77777777" w:rsidR="00D80F06" w:rsidRDefault="00885FDA">
      <w:pPr>
        <w:spacing w:after="200" w:line="480" w:lineRule="auto"/>
        <w:rPr>
          <w:rFonts w:ascii="Arial" w:eastAsia="Arial" w:hAnsi="Arial" w:cs="Arial"/>
        </w:rPr>
      </w:pPr>
      <w:r>
        <w:rPr>
          <w:rFonts w:ascii="Arial" w:eastAsia="Arial" w:hAnsi="Arial" w:cs="Arial"/>
          <w:noProof/>
        </w:rPr>
        <w:drawing>
          <wp:inline distT="0" distB="0" distL="0" distR="0" wp14:anchorId="40CEED7A" wp14:editId="5D792D12">
            <wp:extent cx="5436235" cy="6870700"/>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2"/>
                    <a:srcRect/>
                    <a:stretch>
                      <a:fillRect/>
                    </a:stretch>
                  </pic:blipFill>
                  <pic:spPr>
                    <a:xfrm>
                      <a:off x="0" y="0"/>
                      <a:ext cx="5436235" cy="6870700"/>
                    </a:xfrm>
                    <a:prstGeom prst="rect">
                      <a:avLst/>
                    </a:prstGeom>
                    <a:ln/>
                  </pic:spPr>
                </pic:pic>
              </a:graphicData>
            </a:graphic>
          </wp:inline>
        </w:drawing>
      </w:r>
    </w:p>
    <w:p w14:paraId="1016BFD1" w14:textId="77777777" w:rsidR="00D80F06" w:rsidRDefault="00885FDA">
      <w:pPr>
        <w:spacing w:after="200" w:line="480" w:lineRule="auto"/>
        <w:rPr>
          <w:rFonts w:ascii="Calibri" w:eastAsia="Calibri" w:hAnsi="Calibri" w:cs="Calibri"/>
          <w:sz w:val="22"/>
          <w:szCs w:val="22"/>
        </w:rPr>
      </w:pPr>
      <w:r>
        <w:rPr>
          <w:rFonts w:ascii="Arial" w:eastAsia="Arial" w:hAnsi="Arial" w:cs="Arial"/>
        </w:rPr>
        <w:lastRenderedPageBreak/>
        <w:t>*Maps reproduced from California Energy Commission and the Office of Environmental Health Hazard Assessment</w:t>
      </w:r>
    </w:p>
    <w:sectPr w:rsidR="00D80F06">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87AA7" w14:textId="77777777" w:rsidR="009E53B1" w:rsidRDefault="009E53B1">
      <w:r>
        <w:separator/>
      </w:r>
    </w:p>
  </w:endnote>
  <w:endnote w:type="continuationSeparator" w:id="0">
    <w:p w14:paraId="53F4AAAF" w14:textId="77777777" w:rsidR="009E53B1" w:rsidRDefault="009E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New York"/>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8CB36" w14:textId="77777777" w:rsidR="00D80F06" w:rsidRDefault="00D80F06">
    <w:pPr>
      <w:tabs>
        <w:tab w:val="right" w:pos="9020"/>
      </w:tabs>
      <w:rPr>
        <w:rFonts w:ascii="Helvetica Neue" w:eastAsia="Helvetica Neue" w:hAnsi="Helvetica Neue" w:cs="Helvetica Neu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0D2C8" w14:textId="77777777" w:rsidR="009E53B1" w:rsidRDefault="009E53B1">
      <w:r>
        <w:separator/>
      </w:r>
    </w:p>
  </w:footnote>
  <w:footnote w:type="continuationSeparator" w:id="0">
    <w:p w14:paraId="108BF1FC" w14:textId="77777777" w:rsidR="009E53B1" w:rsidRDefault="009E53B1">
      <w:r>
        <w:continuationSeparator/>
      </w:r>
    </w:p>
  </w:footnote>
  <w:footnote w:id="1">
    <w:p w14:paraId="06D12CF5" w14:textId="77777777" w:rsidR="00D80F06" w:rsidRDefault="00885FDA">
      <w:pPr>
        <w:rPr>
          <w:rFonts w:ascii="Arial" w:eastAsia="Arial" w:hAnsi="Arial" w:cs="Arial"/>
          <w:sz w:val="22"/>
          <w:szCs w:val="22"/>
        </w:rPr>
      </w:pPr>
      <w:r>
        <w:rPr>
          <w:vertAlign w:val="superscript"/>
        </w:rPr>
        <w:footnoteRef/>
      </w:r>
      <w:r>
        <w:rPr>
          <w:rFonts w:ascii="Arial" w:eastAsia="Arial" w:hAnsi="Arial" w:cs="Arial"/>
          <w:sz w:val="22"/>
          <w:szCs w:val="22"/>
        </w:rPr>
        <w:t xml:space="preserve"> </w:t>
      </w:r>
      <w:proofErr w:type="gramStart"/>
      <w:r>
        <w:rPr>
          <w:rFonts w:ascii="Arial" w:eastAsia="Arial" w:hAnsi="Arial" w:cs="Arial"/>
          <w:sz w:val="22"/>
          <w:szCs w:val="22"/>
        </w:rPr>
        <w:t xml:space="preserve">From Summaries of Workshops conducted by OEHHA for community outreach efforts regarding design of </w:t>
      </w:r>
      <w:proofErr w:type="spellStart"/>
      <w:r>
        <w:rPr>
          <w:rFonts w:ascii="Arial" w:eastAsia="Arial" w:hAnsi="Arial" w:cs="Arial"/>
          <w:sz w:val="22"/>
          <w:szCs w:val="22"/>
        </w:rPr>
        <w:t>CalEnviroScreen</w:t>
      </w:r>
      <w:proofErr w:type="spellEnd"/>
      <w:r>
        <w:rPr>
          <w:rFonts w:ascii="Arial" w:eastAsia="Arial" w:hAnsi="Arial" w:cs="Arial"/>
          <w:sz w:val="22"/>
          <w:szCs w:val="22"/>
        </w:rPr>
        <w:t xml:space="preserve"> 3.0 on October 26, 2016.</w:t>
      </w:r>
      <w:proofErr w:type="gramEnd"/>
    </w:p>
  </w:footnote>
  <w:footnote w:id="2">
    <w:p w14:paraId="21B66881" w14:textId="77777777" w:rsidR="00D80F06" w:rsidRDefault="00885FDA">
      <w:pPr>
        <w:rPr>
          <w:rFonts w:ascii="Arial" w:eastAsia="Arial" w:hAnsi="Arial" w:cs="Arial"/>
          <w:sz w:val="22"/>
          <w:szCs w:val="22"/>
        </w:rPr>
      </w:pPr>
      <w:r>
        <w:rPr>
          <w:vertAlign w:val="superscript"/>
        </w:rPr>
        <w:footnoteRef/>
      </w:r>
      <w:r>
        <w:rPr>
          <w:rFonts w:ascii="Arial" w:eastAsia="Arial" w:hAnsi="Arial" w:cs="Arial"/>
          <w:sz w:val="22"/>
          <w:szCs w:val="22"/>
        </w:rPr>
        <w:t xml:space="preserve"> ‘2015 California Demand Response Potential Study: Charting California’s Demand Response Future. Alstone, Peter et al. Lawrence Berkeley National Lab, April 1, 2016.</w:t>
      </w:r>
    </w:p>
  </w:footnote>
  <w:footnote w:id="3">
    <w:p w14:paraId="6DD3EADC" w14:textId="77777777" w:rsidR="00D80F06" w:rsidRDefault="00885FDA">
      <w:pPr>
        <w:rPr>
          <w:rFonts w:ascii="Arial" w:eastAsia="Arial" w:hAnsi="Arial" w:cs="Arial"/>
          <w:sz w:val="22"/>
          <w:szCs w:val="22"/>
        </w:rPr>
      </w:pPr>
      <w:r>
        <w:rPr>
          <w:vertAlign w:val="superscript"/>
        </w:rPr>
        <w:footnoteRef/>
      </w:r>
      <w:r>
        <w:rPr>
          <w:rFonts w:ascii="Arial" w:eastAsia="Arial" w:hAnsi="Arial" w:cs="Arial"/>
          <w:sz w:val="22"/>
          <w:szCs w:val="22"/>
        </w:rPr>
        <w:t xml:space="preserve"> From 2009-2016 </w:t>
      </w:r>
      <w:proofErr w:type="spellStart"/>
      <w:r>
        <w:rPr>
          <w:rFonts w:ascii="Arial" w:eastAsia="Arial" w:hAnsi="Arial" w:cs="Arial"/>
          <w:sz w:val="22"/>
          <w:szCs w:val="22"/>
        </w:rPr>
        <w:t>AirNow</w:t>
      </w:r>
      <w:proofErr w:type="spellEnd"/>
      <w:r>
        <w:rPr>
          <w:rFonts w:ascii="Arial" w:eastAsia="Arial" w:hAnsi="Arial" w:cs="Arial"/>
          <w:sz w:val="22"/>
          <w:szCs w:val="22"/>
        </w:rPr>
        <w:t xml:space="preserve"> maps ‘Number of Unhealthy Days for Asthma and Other Lung Diseases’ based on the EPA’s Air Quality System measures.</w:t>
      </w:r>
    </w:p>
  </w:footnote>
  <w:footnote w:id="4">
    <w:p w14:paraId="75E5FD7E" w14:textId="77777777" w:rsidR="00D80F06" w:rsidRDefault="00885FDA">
      <w:pPr>
        <w:rPr>
          <w:rFonts w:ascii="Arial" w:eastAsia="Arial" w:hAnsi="Arial" w:cs="Arial"/>
          <w:sz w:val="22"/>
          <w:szCs w:val="22"/>
        </w:rPr>
      </w:pPr>
      <w:r>
        <w:rPr>
          <w:vertAlign w:val="superscript"/>
        </w:rPr>
        <w:footnoteRef/>
      </w:r>
      <w:r>
        <w:rPr>
          <w:rFonts w:ascii="Arial" w:eastAsia="Arial" w:hAnsi="Arial" w:cs="Arial"/>
          <w:sz w:val="22"/>
          <w:szCs w:val="22"/>
        </w:rPr>
        <w:t xml:space="preserve"> ‘Bridging the Digital Divide in Rural California’, Greenlining Institute, www.greenlining.org.</w:t>
      </w:r>
    </w:p>
  </w:footnote>
  <w:footnote w:id="5">
    <w:p w14:paraId="133AC97B" w14:textId="77777777" w:rsidR="00D80F06" w:rsidRDefault="00885FDA">
      <w:pPr>
        <w:rPr>
          <w:rFonts w:ascii="Arial" w:eastAsia="Arial" w:hAnsi="Arial" w:cs="Arial"/>
          <w:sz w:val="22"/>
          <w:szCs w:val="22"/>
        </w:rPr>
      </w:pPr>
      <w:r>
        <w:rPr>
          <w:vertAlign w:val="superscript"/>
        </w:rPr>
        <w:footnoteRef/>
      </w:r>
      <w:r>
        <w:rPr>
          <w:rFonts w:ascii="Arial" w:eastAsia="Arial" w:hAnsi="Arial" w:cs="Arial"/>
          <w:sz w:val="22"/>
          <w:szCs w:val="22"/>
        </w:rPr>
        <w:t xml:space="preserve"> Low income customers in the California Alternative Rates for Energy (CARE) program receive a 30-35 percent discount on their electric bill and a 20 percent discount on their natural gas bill. They must meet income guidelines </w:t>
      </w:r>
      <w:hyperlink r:id="rId1">
        <w:r>
          <w:rPr>
            <w:rFonts w:ascii="Arial" w:eastAsia="Arial" w:hAnsi="Arial" w:cs="Arial"/>
            <w:color w:val="0000FF"/>
            <w:sz w:val="22"/>
            <w:szCs w:val="22"/>
            <w:u w:val="single"/>
          </w:rPr>
          <w:t>http://www.cpuc.ca.gov/General.aspx?id=976</w:t>
        </w:r>
      </w:hyperlink>
    </w:p>
  </w:footnote>
  <w:footnote w:id="6">
    <w:p w14:paraId="51502D27" w14:textId="77777777" w:rsidR="00D80F06" w:rsidRPr="00305EC2" w:rsidRDefault="00885FDA">
      <w:pPr>
        <w:pStyle w:val="Heading2"/>
        <w:pBdr>
          <w:bottom w:val="single" w:sz="6" w:space="2" w:color="CCCCCC"/>
        </w:pBdr>
        <w:spacing w:before="0" w:after="270"/>
        <w:rPr>
          <w:rFonts w:ascii="Arial" w:eastAsia="Arial" w:hAnsi="Arial" w:cs="Arial"/>
          <w:b w:val="0"/>
          <w:color w:val="FFA100"/>
          <w:sz w:val="22"/>
          <w:szCs w:val="22"/>
        </w:rPr>
      </w:pPr>
      <w:r w:rsidRPr="00305EC2">
        <w:rPr>
          <w:rFonts w:ascii="Arial" w:hAnsi="Arial" w:cs="Arial"/>
          <w:sz w:val="22"/>
          <w:szCs w:val="22"/>
          <w:vertAlign w:val="superscript"/>
        </w:rPr>
        <w:footnoteRef/>
      </w:r>
      <w:r w:rsidRPr="00305EC2">
        <w:rPr>
          <w:rFonts w:ascii="Arial" w:hAnsi="Arial" w:cs="Arial"/>
          <w:sz w:val="22"/>
          <w:szCs w:val="22"/>
        </w:rPr>
        <w:t xml:space="preserve"> </w:t>
      </w:r>
      <w:r w:rsidRPr="00305EC2">
        <w:rPr>
          <w:rFonts w:ascii="Arial" w:hAnsi="Arial" w:cs="Arial"/>
          <w:color w:val="000000" w:themeColor="text1"/>
          <w:sz w:val="22"/>
          <w:szCs w:val="22"/>
        </w:rPr>
        <w:t>‘</w:t>
      </w:r>
      <w:r w:rsidRPr="00305EC2">
        <w:rPr>
          <w:rFonts w:ascii="Arial" w:eastAsia="Arial" w:hAnsi="Arial" w:cs="Arial"/>
          <w:b w:val="0"/>
          <w:color w:val="000000" w:themeColor="text1"/>
          <w:sz w:val="22"/>
          <w:szCs w:val="22"/>
        </w:rPr>
        <w:t>Thousands of Energy Customers Could Receive More Than 30 Percent in Energy Savings through PG&amp;E CARE Program’, Pge.com, October 12, 2015.</w:t>
      </w:r>
    </w:p>
    <w:p w14:paraId="0BE11739" w14:textId="77777777" w:rsidR="00D80F06" w:rsidRDefault="00D80F06">
      <w:pPr>
        <w:rPr>
          <w:rFonts w:ascii="Arial" w:eastAsia="Arial" w:hAnsi="Arial" w:cs="Arial"/>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0ECC1" w14:textId="77777777" w:rsidR="00D80F06" w:rsidRDefault="00D80F06">
    <w:pPr>
      <w:tabs>
        <w:tab w:val="right" w:pos="9020"/>
      </w:tabs>
      <w:rPr>
        <w:rFonts w:ascii="Helvetica Neue" w:eastAsia="Helvetica Neue" w:hAnsi="Helvetica Neue" w:cs="Helvetica Neu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264D6"/>
    <w:multiLevelType w:val="multilevel"/>
    <w:tmpl w:val="462A2464"/>
    <w:lvl w:ilvl="0">
      <w:start w:val="2"/>
      <w:numFmt w:val="upperRoman"/>
      <w:lvlText w:val="%1."/>
      <w:lvlJc w:val="left"/>
      <w:pPr>
        <w:ind w:left="806" w:hanging="720"/>
      </w:pPr>
      <w:rPr>
        <w:b/>
        <w:smallCaps w:val="0"/>
        <w:strike w:val="0"/>
        <w:shd w:val="clear" w:color="auto" w:fill="auto"/>
        <w:vertAlign w:val="baseline"/>
      </w:rPr>
    </w:lvl>
    <w:lvl w:ilvl="1">
      <w:start w:val="1"/>
      <w:numFmt w:val="upperRoman"/>
      <w:lvlText w:val="%2."/>
      <w:lvlJc w:val="left"/>
      <w:pPr>
        <w:ind w:left="1481" w:hanging="508"/>
      </w:pPr>
      <w:rPr>
        <w:b/>
        <w:smallCaps w:val="0"/>
        <w:strike w:val="0"/>
        <w:shd w:val="clear" w:color="auto" w:fill="auto"/>
        <w:vertAlign w:val="baseline"/>
      </w:rPr>
    </w:lvl>
    <w:lvl w:ilvl="2">
      <w:start w:val="1"/>
      <w:numFmt w:val="lowerRoman"/>
      <w:lvlText w:val="%3."/>
      <w:lvlJc w:val="left"/>
      <w:pPr>
        <w:ind w:left="2156" w:hanging="295"/>
      </w:pPr>
      <w:rPr>
        <w:b/>
        <w:smallCaps w:val="0"/>
        <w:strike w:val="0"/>
        <w:shd w:val="clear" w:color="auto" w:fill="auto"/>
        <w:vertAlign w:val="baseline"/>
      </w:rPr>
    </w:lvl>
    <w:lvl w:ilvl="3">
      <w:start w:val="1"/>
      <w:numFmt w:val="decimal"/>
      <w:lvlText w:val="%4."/>
      <w:lvlJc w:val="left"/>
      <w:pPr>
        <w:ind w:left="2876" w:hanging="360"/>
      </w:pPr>
      <w:rPr>
        <w:b/>
        <w:smallCaps w:val="0"/>
        <w:strike w:val="0"/>
        <w:shd w:val="clear" w:color="auto" w:fill="auto"/>
        <w:vertAlign w:val="baseline"/>
      </w:rPr>
    </w:lvl>
    <w:lvl w:ilvl="4">
      <w:start w:val="1"/>
      <w:numFmt w:val="lowerLetter"/>
      <w:lvlText w:val="%5."/>
      <w:lvlJc w:val="left"/>
      <w:pPr>
        <w:ind w:left="3596" w:hanging="360"/>
      </w:pPr>
      <w:rPr>
        <w:b/>
        <w:smallCaps w:val="0"/>
        <w:strike w:val="0"/>
        <w:shd w:val="clear" w:color="auto" w:fill="auto"/>
        <w:vertAlign w:val="baseline"/>
      </w:rPr>
    </w:lvl>
    <w:lvl w:ilvl="5">
      <w:start w:val="1"/>
      <w:numFmt w:val="lowerRoman"/>
      <w:lvlText w:val="%6."/>
      <w:lvlJc w:val="left"/>
      <w:pPr>
        <w:ind w:left="4316" w:hanging="295"/>
      </w:pPr>
      <w:rPr>
        <w:b/>
        <w:smallCaps w:val="0"/>
        <w:strike w:val="0"/>
        <w:shd w:val="clear" w:color="auto" w:fill="auto"/>
        <w:vertAlign w:val="baseline"/>
      </w:rPr>
    </w:lvl>
    <w:lvl w:ilvl="6">
      <w:start w:val="1"/>
      <w:numFmt w:val="decimal"/>
      <w:lvlText w:val="%7."/>
      <w:lvlJc w:val="left"/>
      <w:pPr>
        <w:ind w:left="5036" w:hanging="360"/>
      </w:pPr>
      <w:rPr>
        <w:b/>
        <w:smallCaps w:val="0"/>
        <w:strike w:val="0"/>
        <w:shd w:val="clear" w:color="auto" w:fill="auto"/>
        <w:vertAlign w:val="baseline"/>
      </w:rPr>
    </w:lvl>
    <w:lvl w:ilvl="7">
      <w:start w:val="1"/>
      <w:numFmt w:val="lowerLetter"/>
      <w:lvlText w:val="%8."/>
      <w:lvlJc w:val="left"/>
      <w:pPr>
        <w:ind w:left="5756" w:hanging="360"/>
      </w:pPr>
      <w:rPr>
        <w:b/>
        <w:smallCaps w:val="0"/>
        <w:strike w:val="0"/>
        <w:shd w:val="clear" w:color="auto" w:fill="auto"/>
        <w:vertAlign w:val="baseline"/>
      </w:rPr>
    </w:lvl>
    <w:lvl w:ilvl="8">
      <w:start w:val="1"/>
      <w:numFmt w:val="lowerRoman"/>
      <w:lvlText w:val="%9."/>
      <w:lvlJc w:val="left"/>
      <w:pPr>
        <w:ind w:left="6476" w:hanging="295"/>
      </w:pPr>
      <w:rPr>
        <w:b/>
        <w:smallCaps w:val="0"/>
        <w:strike w:val="0"/>
        <w:shd w:val="clear" w:color="auto" w:fill="auto"/>
        <w:vertAlign w:val="baseline"/>
      </w:rPr>
    </w:lvl>
  </w:abstractNum>
  <w:abstractNum w:abstractNumId="1">
    <w:nsid w:val="26751DA7"/>
    <w:multiLevelType w:val="multilevel"/>
    <w:tmpl w:val="9F46D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11776DC"/>
    <w:multiLevelType w:val="multilevel"/>
    <w:tmpl w:val="32F07EDE"/>
    <w:lvl w:ilvl="0">
      <w:start w:val="1"/>
      <w:numFmt w:val="upperRoman"/>
      <w:lvlText w:val="%1."/>
      <w:lvlJc w:val="left"/>
      <w:pPr>
        <w:ind w:left="720" w:hanging="720"/>
      </w:pPr>
      <w:rPr>
        <w:smallCaps w:val="0"/>
        <w:strike w:val="0"/>
        <w:shd w:val="clear" w:color="auto" w:fill="auto"/>
        <w:vertAlign w:val="baseline"/>
      </w:rPr>
    </w:lvl>
    <w:lvl w:ilvl="1">
      <w:start w:val="1"/>
      <w:numFmt w:val="upperRoman"/>
      <w:lvlText w:val="%2."/>
      <w:lvlJc w:val="left"/>
      <w:pPr>
        <w:ind w:left="1395" w:hanging="507"/>
      </w:pPr>
      <w:rPr>
        <w:smallCaps w:val="0"/>
        <w:strike w:val="0"/>
        <w:shd w:val="clear" w:color="auto" w:fill="auto"/>
        <w:vertAlign w:val="baseline"/>
      </w:rPr>
    </w:lvl>
    <w:lvl w:ilvl="2">
      <w:start w:val="1"/>
      <w:numFmt w:val="lowerRoman"/>
      <w:lvlText w:val="%3."/>
      <w:lvlJc w:val="left"/>
      <w:pPr>
        <w:ind w:left="2070" w:hanging="294"/>
      </w:pPr>
      <w:rPr>
        <w:smallCaps w:val="0"/>
        <w:strike w:val="0"/>
        <w:shd w:val="clear" w:color="auto" w:fill="auto"/>
        <w:vertAlign w:val="baseline"/>
      </w:rPr>
    </w:lvl>
    <w:lvl w:ilvl="3">
      <w:start w:val="1"/>
      <w:numFmt w:val="decimal"/>
      <w:lvlText w:val="%4."/>
      <w:lvlJc w:val="left"/>
      <w:pPr>
        <w:ind w:left="2790" w:hanging="360"/>
      </w:pPr>
      <w:rPr>
        <w:smallCaps w:val="0"/>
        <w:strike w:val="0"/>
        <w:shd w:val="clear" w:color="auto" w:fill="auto"/>
        <w:vertAlign w:val="baseline"/>
      </w:rPr>
    </w:lvl>
    <w:lvl w:ilvl="4">
      <w:start w:val="1"/>
      <w:numFmt w:val="lowerLetter"/>
      <w:lvlText w:val="%5."/>
      <w:lvlJc w:val="left"/>
      <w:pPr>
        <w:ind w:left="3510" w:hanging="360"/>
      </w:pPr>
      <w:rPr>
        <w:smallCaps w:val="0"/>
        <w:strike w:val="0"/>
        <w:shd w:val="clear" w:color="auto" w:fill="auto"/>
        <w:vertAlign w:val="baseline"/>
      </w:rPr>
    </w:lvl>
    <w:lvl w:ilvl="5">
      <w:start w:val="1"/>
      <w:numFmt w:val="lowerRoman"/>
      <w:lvlText w:val="%6."/>
      <w:lvlJc w:val="left"/>
      <w:pPr>
        <w:ind w:left="4230" w:hanging="294"/>
      </w:pPr>
      <w:rPr>
        <w:smallCaps w:val="0"/>
        <w:strike w:val="0"/>
        <w:shd w:val="clear" w:color="auto" w:fill="auto"/>
        <w:vertAlign w:val="baseline"/>
      </w:rPr>
    </w:lvl>
    <w:lvl w:ilvl="6">
      <w:start w:val="1"/>
      <w:numFmt w:val="decimal"/>
      <w:lvlText w:val="%7."/>
      <w:lvlJc w:val="left"/>
      <w:pPr>
        <w:ind w:left="4950" w:hanging="360"/>
      </w:pPr>
      <w:rPr>
        <w:smallCaps w:val="0"/>
        <w:strike w:val="0"/>
        <w:shd w:val="clear" w:color="auto" w:fill="auto"/>
        <w:vertAlign w:val="baseline"/>
      </w:rPr>
    </w:lvl>
    <w:lvl w:ilvl="7">
      <w:start w:val="1"/>
      <w:numFmt w:val="lowerLetter"/>
      <w:lvlText w:val="%8."/>
      <w:lvlJc w:val="left"/>
      <w:pPr>
        <w:ind w:left="5670" w:hanging="360"/>
      </w:pPr>
      <w:rPr>
        <w:smallCaps w:val="0"/>
        <w:strike w:val="0"/>
        <w:shd w:val="clear" w:color="auto" w:fill="auto"/>
        <w:vertAlign w:val="baseline"/>
      </w:rPr>
    </w:lvl>
    <w:lvl w:ilvl="8">
      <w:start w:val="1"/>
      <w:numFmt w:val="lowerRoman"/>
      <w:lvlText w:val="%9."/>
      <w:lvlJc w:val="left"/>
      <w:pPr>
        <w:ind w:left="6390" w:hanging="294"/>
      </w:pPr>
      <w:rPr>
        <w:smallCaps w:val="0"/>
        <w:strike w:val="0"/>
        <w:shd w:val="clear" w:color="auto" w:fill="auto"/>
        <w:vertAlign w:val="baseline"/>
      </w:rPr>
    </w:lvl>
  </w:abstractNum>
  <w:abstractNum w:abstractNumId="3">
    <w:nsid w:val="46131538"/>
    <w:multiLevelType w:val="multilevel"/>
    <w:tmpl w:val="77C65982"/>
    <w:lvl w:ilvl="0">
      <w:start w:val="1"/>
      <w:numFmt w:val="upperRoman"/>
      <w:lvlText w:val="%1."/>
      <w:lvlJc w:val="left"/>
      <w:pPr>
        <w:ind w:left="810" w:hanging="720"/>
      </w:pPr>
      <w:rPr>
        <w:b/>
        <w:smallCaps w:val="0"/>
        <w:strike w:val="0"/>
        <w:shd w:val="clear" w:color="auto" w:fill="auto"/>
        <w:vertAlign w:val="baseline"/>
      </w:rPr>
    </w:lvl>
    <w:lvl w:ilvl="1">
      <w:start w:val="1"/>
      <w:numFmt w:val="upperRoman"/>
      <w:lvlText w:val="%2."/>
      <w:lvlJc w:val="left"/>
      <w:pPr>
        <w:ind w:left="1485" w:hanging="508"/>
      </w:pPr>
      <w:rPr>
        <w:b/>
        <w:smallCaps w:val="0"/>
        <w:strike w:val="0"/>
        <w:shd w:val="clear" w:color="auto" w:fill="auto"/>
        <w:vertAlign w:val="baseline"/>
      </w:rPr>
    </w:lvl>
    <w:lvl w:ilvl="2">
      <w:start w:val="1"/>
      <w:numFmt w:val="lowerRoman"/>
      <w:lvlText w:val="%3."/>
      <w:lvlJc w:val="left"/>
      <w:pPr>
        <w:ind w:left="2160" w:hanging="295"/>
      </w:pPr>
      <w:rPr>
        <w:b/>
        <w:smallCaps w:val="0"/>
        <w:strike w:val="0"/>
        <w:shd w:val="clear" w:color="auto" w:fill="auto"/>
        <w:vertAlign w:val="baseline"/>
      </w:rPr>
    </w:lvl>
    <w:lvl w:ilvl="3">
      <w:start w:val="1"/>
      <w:numFmt w:val="decimal"/>
      <w:lvlText w:val="%4."/>
      <w:lvlJc w:val="left"/>
      <w:pPr>
        <w:ind w:left="2880" w:hanging="360"/>
      </w:pPr>
      <w:rPr>
        <w:b/>
        <w:smallCaps w:val="0"/>
        <w:strike w:val="0"/>
        <w:shd w:val="clear" w:color="auto" w:fill="auto"/>
        <w:vertAlign w:val="baseline"/>
      </w:rPr>
    </w:lvl>
    <w:lvl w:ilvl="4">
      <w:start w:val="1"/>
      <w:numFmt w:val="lowerLetter"/>
      <w:lvlText w:val="%5."/>
      <w:lvlJc w:val="left"/>
      <w:pPr>
        <w:ind w:left="3600" w:hanging="360"/>
      </w:pPr>
      <w:rPr>
        <w:b/>
        <w:smallCaps w:val="0"/>
        <w:strike w:val="0"/>
        <w:shd w:val="clear" w:color="auto" w:fill="auto"/>
        <w:vertAlign w:val="baseline"/>
      </w:rPr>
    </w:lvl>
    <w:lvl w:ilvl="5">
      <w:start w:val="1"/>
      <w:numFmt w:val="lowerRoman"/>
      <w:lvlText w:val="%6."/>
      <w:lvlJc w:val="left"/>
      <w:pPr>
        <w:ind w:left="4320" w:hanging="295"/>
      </w:pPr>
      <w:rPr>
        <w:b/>
        <w:smallCaps w:val="0"/>
        <w:strike w:val="0"/>
        <w:shd w:val="clear" w:color="auto" w:fill="auto"/>
        <w:vertAlign w:val="baseline"/>
      </w:rPr>
    </w:lvl>
    <w:lvl w:ilvl="6">
      <w:start w:val="1"/>
      <w:numFmt w:val="decimal"/>
      <w:lvlText w:val="%7."/>
      <w:lvlJc w:val="left"/>
      <w:pPr>
        <w:ind w:left="5040" w:hanging="360"/>
      </w:pPr>
      <w:rPr>
        <w:b/>
        <w:smallCaps w:val="0"/>
        <w:strike w:val="0"/>
        <w:shd w:val="clear" w:color="auto" w:fill="auto"/>
        <w:vertAlign w:val="baseline"/>
      </w:rPr>
    </w:lvl>
    <w:lvl w:ilvl="7">
      <w:start w:val="1"/>
      <w:numFmt w:val="lowerLetter"/>
      <w:lvlText w:val="%8."/>
      <w:lvlJc w:val="left"/>
      <w:pPr>
        <w:ind w:left="5760" w:hanging="360"/>
      </w:pPr>
      <w:rPr>
        <w:b/>
        <w:smallCaps w:val="0"/>
        <w:strike w:val="0"/>
        <w:shd w:val="clear" w:color="auto" w:fill="auto"/>
        <w:vertAlign w:val="baseline"/>
      </w:rPr>
    </w:lvl>
    <w:lvl w:ilvl="8">
      <w:start w:val="1"/>
      <w:numFmt w:val="lowerRoman"/>
      <w:lvlText w:val="%9."/>
      <w:lvlJc w:val="left"/>
      <w:pPr>
        <w:ind w:left="6480" w:hanging="295"/>
      </w:pPr>
      <w:rPr>
        <w:b/>
        <w:smallCaps w:val="0"/>
        <w:strike w:val="0"/>
        <w:shd w:val="clear" w:color="auto" w:fill="auto"/>
        <w:vertAlign w:val="baseline"/>
      </w:rPr>
    </w:lvl>
  </w:abstractNum>
  <w:abstractNum w:abstractNumId="4">
    <w:nsid w:val="48356B66"/>
    <w:multiLevelType w:val="multilevel"/>
    <w:tmpl w:val="DECE026E"/>
    <w:lvl w:ilvl="0">
      <w:start w:val="1"/>
      <w:numFmt w:val="bullet"/>
      <w:lvlText w:val="•"/>
      <w:lvlJc w:val="left"/>
      <w:pPr>
        <w:ind w:left="108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80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52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324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96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68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40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612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840" w:hanging="360"/>
      </w:pPr>
      <w:rPr>
        <w:rFonts w:ascii="Arimo" w:eastAsia="Arimo" w:hAnsi="Arimo" w:cs="Arimo"/>
        <w:b w:val="0"/>
        <w:i w:val="0"/>
        <w:smallCaps w:val="0"/>
        <w:strike w:val="0"/>
        <w:shd w:val="clear" w:color="auto" w:fill="auto"/>
        <w:vertAlign w:val="baseline"/>
      </w:rPr>
    </w:lvl>
  </w:abstractNum>
  <w:abstractNum w:abstractNumId="5">
    <w:nsid w:val="49E063F3"/>
    <w:multiLevelType w:val="multilevel"/>
    <w:tmpl w:val="5B8C6F20"/>
    <w:lvl w:ilvl="0">
      <w:start w:val="1"/>
      <w:numFmt w:val="decimal"/>
      <w:lvlText w:val="%1."/>
      <w:lvlJc w:val="left"/>
      <w:pPr>
        <w:ind w:left="720" w:hanging="360"/>
      </w:pPr>
      <w:rPr>
        <w:smallCaps w:val="0"/>
        <w:strike w:val="0"/>
        <w:shd w:val="clear" w:color="auto" w:fill="auto"/>
        <w:vertAlign w:val="baseline"/>
      </w:rPr>
    </w:lvl>
    <w:lvl w:ilvl="1">
      <w:start w:val="1"/>
      <w:numFmt w:val="decimal"/>
      <w:lvlText w:val="%2."/>
      <w:lvlJc w:val="left"/>
      <w:pPr>
        <w:ind w:left="1440" w:hanging="327"/>
      </w:pPr>
      <w:rPr>
        <w:smallCaps w:val="0"/>
        <w:strike w:val="0"/>
        <w:shd w:val="clear" w:color="auto" w:fill="auto"/>
        <w:vertAlign w:val="baseline"/>
      </w:rPr>
    </w:lvl>
    <w:lvl w:ilvl="2">
      <w:start w:val="1"/>
      <w:numFmt w:val="lowerRoman"/>
      <w:lvlText w:val="%3."/>
      <w:lvlJc w:val="left"/>
      <w:pPr>
        <w:ind w:left="2160" w:hanging="294"/>
      </w:pPr>
      <w:rPr>
        <w:smallCaps w:val="0"/>
        <w:strike w:val="0"/>
        <w:shd w:val="clear" w:color="auto" w:fill="auto"/>
        <w:vertAlign w:val="baseline"/>
      </w:rPr>
    </w:lvl>
    <w:lvl w:ilvl="3">
      <w:start w:val="1"/>
      <w:numFmt w:val="decimal"/>
      <w:lvlText w:val="%4."/>
      <w:lvlJc w:val="left"/>
      <w:pPr>
        <w:ind w:left="2880" w:hanging="360"/>
      </w:pPr>
      <w:rPr>
        <w:smallCaps w:val="0"/>
        <w:strike w:val="0"/>
        <w:shd w:val="clear" w:color="auto" w:fill="auto"/>
        <w:vertAlign w:val="baseline"/>
      </w:rPr>
    </w:lvl>
    <w:lvl w:ilvl="4">
      <w:start w:val="1"/>
      <w:numFmt w:val="lowerLetter"/>
      <w:lvlText w:val="%5."/>
      <w:lvlJc w:val="left"/>
      <w:pPr>
        <w:ind w:left="3600" w:hanging="360"/>
      </w:pPr>
      <w:rPr>
        <w:smallCaps w:val="0"/>
        <w:strike w:val="0"/>
        <w:shd w:val="clear" w:color="auto" w:fill="auto"/>
        <w:vertAlign w:val="baseline"/>
      </w:rPr>
    </w:lvl>
    <w:lvl w:ilvl="5">
      <w:start w:val="1"/>
      <w:numFmt w:val="lowerRoman"/>
      <w:lvlText w:val="%6."/>
      <w:lvlJc w:val="left"/>
      <w:pPr>
        <w:ind w:left="4320" w:hanging="294"/>
      </w:pPr>
      <w:rPr>
        <w:smallCaps w:val="0"/>
        <w:strike w:val="0"/>
        <w:shd w:val="clear" w:color="auto" w:fill="auto"/>
        <w:vertAlign w:val="baseline"/>
      </w:rPr>
    </w:lvl>
    <w:lvl w:ilvl="6">
      <w:start w:val="1"/>
      <w:numFmt w:val="decimal"/>
      <w:lvlText w:val="%7."/>
      <w:lvlJc w:val="left"/>
      <w:pPr>
        <w:ind w:left="5040" w:hanging="360"/>
      </w:pPr>
      <w:rPr>
        <w:smallCaps w:val="0"/>
        <w:strike w:val="0"/>
        <w:shd w:val="clear" w:color="auto" w:fill="auto"/>
        <w:vertAlign w:val="baseline"/>
      </w:rPr>
    </w:lvl>
    <w:lvl w:ilvl="7">
      <w:start w:val="1"/>
      <w:numFmt w:val="lowerLetter"/>
      <w:lvlText w:val="%8."/>
      <w:lvlJc w:val="left"/>
      <w:pPr>
        <w:ind w:left="5760" w:hanging="360"/>
      </w:pPr>
      <w:rPr>
        <w:smallCaps w:val="0"/>
        <w:strike w:val="0"/>
        <w:shd w:val="clear" w:color="auto" w:fill="auto"/>
        <w:vertAlign w:val="baseline"/>
      </w:rPr>
    </w:lvl>
    <w:lvl w:ilvl="8">
      <w:start w:val="1"/>
      <w:numFmt w:val="lowerRoman"/>
      <w:lvlText w:val="%9."/>
      <w:lvlJc w:val="left"/>
      <w:pPr>
        <w:ind w:left="6480" w:hanging="294"/>
      </w:pPr>
      <w:rPr>
        <w:smallCaps w:val="0"/>
        <w:strike w:val="0"/>
        <w:shd w:val="clear" w:color="auto" w:fill="auto"/>
        <w:vertAlign w:val="baseline"/>
      </w:rPr>
    </w:lvl>
  </w:abstractNum>
  <w:abstractNum w:abstractNumId="6">
    <w:nsid w:val="4CC329B5"/>
    <w:multiLevelType w:val="multilevel"/>
    <w:tmpl w:val="61BCF094"/>
    <w:lvl w:ilvl="0">
      <w:start w:val="1"/>
      <w:numFmt w:val="bullet"/>
      <w:lvlText w:val="•"/>
      <w:lvlJc w:val="left"/>
      <w:pPr>
        <w:ind w:left="393" w:hanging="393"/>
      </w:pPr>
      <w:rPr>
        <w:smallCaps w:val="0"/>
        <w:strike w:val="0"/>
        <w:shd w:val="clear" w:color="auto" w:fill="auto"/>
        <w:vertAlign w:val="baseline"/>
      </w:rPr>
    </w:lvl>
    <w:lvl w:ilvl="1">
      <w:start w:val="1"/>
      <w:numFmt w:val="bullet"/>
      <w:lvlText w:val="•"/>
      <w:lvlJc w:val="left"/>
      <w:pPr>
        <w:ind w:left="1440" w:hanging="360"/>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360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5760" w:hanging="360"/>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68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792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9000" w:hanging="360"/>
      </w:pPr>
      <w:rPr>
        <w:rFonts w:ascii="Noto Sans Symbols" w:eastAsia="Noto Sans Symbols" w:hAnsi="Noto Sans Symbols" w:cs="Noto Sans Symbols"/>
        <w:b w:val="0"/>
        <w:i w:val="0"/>
        <w:smallCaps w:val="0"/>
        <w:strike w:val="0"/>
        <w:shd w:val="clear" w:color="auto" w:fill="auto"/>
        <w:vertAlign w:val="baseline"/>
      </w:rPr>
    </w:lvl>
  </w:abstractNum>
  <w:abstractNum w:abstractNumId="7">
    <w:nsid w:val="535D5560"/>
    <w:multiLevelType w:val="multilevel"/>
    <w:tmpl w:val="F53CA8DA"/>
    <w:lvl w:ilvl="0">
      <w:start w:val="1"/>
      <w:numFmt w:val="upperRoman"/>
      <w:lvlText w:val="%1."/>
      <w:lvlJc w:val="left"/>
      <w:pPr>
        <w:ind w:left="720" w:hanging="720"/>
      </w:pPr>
      <w:rPr>
        <w:b/>
        <w:smallCaps w:val="0"/>
        <w:strike w:val="0"/>
        <w:shd w:val="clear" w:color="auto" w:fill="auto"/>
        <w:vertAlign w:val="baseline"/>
      </w:rPr>
    </w:lvl>
    <w:lvl w:ilvl="1">
      <w:start w:val="1"/>
      <w:numFmt w:val="upperRoman"/>
      <w:lvlText w:val="%2."/>
      <w:lvlJc w:val="left"/>
      <w:pPr>
        <w:ind w:left="1395" w:hanging="508"/>
      </w:pPr>
      <w:rPr>
        <w:b/>
        <w:smallCaps w:val="0"/>
        <w:strike w:val="0"/>
        <w:shd w:val="clear" w:color="auto" w:fill="auto"/>
        <w:vertAlign w:val="baseline"/>
      </w:rPr>
    </w:lvl>
    <w:lvl w:ilvl="2">
      <w:start w:val="1"/>
      <w:numFmt w:val="lowerRoman"/>
      <w:lvlText w:val="%3."/>
      <w:lvlJc w:val="left"/>
      <w:pPr>
        <w:ind w:left="2070" w:hanging="295"/>
      </w:pPr>
      <w:rPr>
        <w:b/>
        <w:smallCaps w:val="0"/>
        <w:strike w:val="0"/>
        <w:shd w:val="clear" w:color="auto" w:fill="auto"/>
        <w:vertAlign w:val="baseline"/>
      </w:rPr>
    </w:lvl>
    <w:lvl w:ilvl="3">
      <w:start w:val="1"/>
      <w:numFmt w:val="decimal"/>
      <w:lvlText w:val="%4."/>
      <w:lvlJc w:val="left"/>
      <w:pPr>
        <w:ind w:left="2790" w:hanging="360"/>
      </w:pPr>
      <w:rPr>
        <w:b/>
        <w:smallCaps w:val="0"/>
        <w:strike w:val="0"/>
        <w:shd w:val="clear" w:color="auto" w:fill="auto"/>
        <w:vertAlign w:val="baseline"/>
      </w:rPr>
    </w:lvl>
    <w:lvl w:ilvl="4">
      <w:start w:val="1"/>
      <w:numFmt w:val="lowerLetter"/>
      <w:lvlText w:val="%5."/>
      <w:lvlJc w:val="left"/>
      <w:pPr>
        <w:ind w:left="3510" w:hanging="360"/>
      </w:pPr>
      <w:rPr>
        <w:b/>
        <w:smallCaps w:val="0"/>
        <w:strike w:val="0"/>
        <w:shd w:val="clear" w:color="auto" w:fill="auto"/>
        <w:vertAlign w:val="baseline"/>
      </w:rPr>
    </w:lvl>
    <w:lvl w:ilvl="5">
      <w:start w:val="1"/>
      <w:numFmt w:val="lowerRoman"/>
      <w:lvlText w:val="%6."/>
      <w:lvlJc w:val="left"/>
      <w:pPr>
        <w:ind w:left="4230" w:hanging="295"/>
      </w:pPr>
      <w:rPr>
        <w:b/>
        <w:smallCaps w:val="0"/>
        <w:strike w:val="0"/>
        <w:shd w:val="clear" w:color="auto" w:fill="auto"/>
        <w:vertAlign w:val="baseline"/>
      </w:rPr>
    </w:lvl>
    <w:lvl w:ilvl="6">
      <w:start w:val="1"/>
      <w:numFmt w:val="decimal"/>
      <w:lvlText w:val="%7."/>
      <w:lvlJc w:val="left"/>
      <w:pPr>
        <w:ind w:left="4950" w:hanging="360"/>
      </w:pPr>
      <w:rPr>
        <w:b/>
        <w:smallCaps w:val="0"/>
        <w:strike w:val="0"/>
        <w:shd w:val="clear" w:color="auto" w:fill="auto"/>
        <w:vertAlign w:val="baseline"/>
      </w:rPr>
    </w:lvl>
    <w:lvl w:ilvl="7">
      <w:start w:val="1"/>
      <w:numFmt w:val="lowerLetter"/>
      <w:lvlText w:val="%8."/>
      <w:lvlJc w:val="left"/>
      <w:pPr>
        <w:ind w:left="5670" w:hanging="360"/>
      </w:pPr>
      <w:rPr>
        <w:b/>
        <w:smallCaps w:val="0"/>
        <w:strike w:val="0"/>
        <w:shd w:val="clear" w:color="auto" w:fill="auto"/>
        <w:vertAlign w:val="baseline"/>
      </w:rPr>
    </w:lvl>
    <w:lvl w:ilvl="8">
      <w:start w:val="1"/>
      <w:numFmt w:val="lowerRoman"/>
      <w:lvlText w:val="%9."/>
      <w:lvlJc w:val="left"/>
      <w:pPr>
        <w:ind w:left="6390" w:hanging="295"/>
      </w:pPr>
      <w:rPr>
        <w:b/>
        <w:smallCaps w:val="0"/>
        <w:strike w:val="0"/>
        <w:shd w:val="clear" w:color="auto" w:fill="auto"/>
        <w:vertAlign w:val="baseline"/>
      </w:rPr>
    </w:lvl>
  </w:abstractNum>
  <w:abstractNum w:abstractNumId="8">
    <w:nsid w:val="686B1C74"/>
    <w:multiLevelType w:val="multilevel"/>
    <w:tmpl w:val="7A860B90"/>
    <w:lvl w:ilvl="0">
      <w:start w:val="1"/>
      <w:numFmt w:val="upperRoman"/>
      <w:lvlText w:val="%1."/>
      <w:lvlJc w:val="left"/>
      <w:pPr>
        <w:ind w:left="720" w:hanging="720"/>
      </w:pPr>
      <w:rPr>
        <w:b/>
        <w:smallCaps w:val="0"/>
        <w:strike w:val="0"/>
        <w:shd w:val="clear" w:color="auto" w:fill="auto"/>
        <w:vertAlign w:val="baseline"/>
      </w:rPr>
    </w:lvl>
    <w:lvl w:ilvl="1">
      <w:start w:val="1"/>
      <w:numFmt w:val="lowerLetter"/>
      <w:lvlText w:val="%2."/>
      <w:lvlJc w:val="left"/>
      <w:pPr>
        <w:ind w:left="1080" w:hanging="360"/>
      </w:pPr>
      <w:rPr>
        <w:b/>
        <w:smallCaps w:val="0"/>
        <w:strike w:val="0"/>
        <w:shd w:val="clear" w:color="auto" w:fill="auto"/>
        <w:vertAlign w:val="baseline"/>
      </w:rPr>
    </w:lvl>
    <w:lvl w:ilvl="2">
      <w:start w:val="1"/>
      <w:numFmt w:val="lowerRoman"/>
      <w:lvlText w:val="%3."/>
      <w:lvlJc w:val="left"/>
      <w:pPr>
        <w:ind w:left="1800" w:hanging="295"/>
      </w:pPr>
      <w:rPr>
        <w:b/>
        <w:smallCaps w:val="0"/>
        <w:strike w:val="0"/>
        <w:shd w:val="clear" w:color="auto" w:fill="auto"/>
        <w:vertAlign w:val="baseline"/>
      </w:rPr>
    </w:lvl>
    <w:lvl w:ilvl="3">
      <w:start w:val="1"/>
      <w:numFmt w:val="decimal"/>
      <w:lvlText w:val="%4."/>
      <w:lvlJc w:val="left"/>
      <w:pPr>
        <w:ind w:left="2520" w:hanging="360"/>
      </w:pPr>
      <w:rPr>
        <w:b/>
        <w:smallCaps w:val="0"/>
        <w:strike w:val="0"/>
        <w:shd w:val="clear" w:color="auto" w:fill="auto"/>
        <w:vertAlign w:val="baseline"/>
      </w:rPr>
    </w:lvl>
    <w:lvl w:ilvl="4">
      <w:start w:val="1"/>
      <w:numFmt w:val="lowerLetter"/>
      <w:lvlText w:val="%5."/>
      <w:lvlJc w:val="left"/>
      <w:pPr>
        <w:ind w:left="3240" w:hanging="360"/>
      </w:pPr>
      <w:rPr>
        <w:b/>
        <w:smallCaps w:val="0"/>
        <w:strike w:val="0"/>
        <w:shd w:val="clear" w:color="auto" w:fill="auto"/>
        <w:vertAlign w:val="baseline"/>
      </w:rPr>
    </w:lvl>
    <w:lvl w:ilvl="5">
      <w:start w:val="1"/>
      <w:numFmt w:val="lowerRoman"/>
      <w:lvlText w:val="%6."/>
      <w:lvlJc w:val="left"/>
      <w:pPr>
        <w:ind w:left="3960" w:hanging="295"/>
      </w:pPr>
      <w:rPr>
        <w:b/>
        <w:smallCaps w:val="0"/>
        <w:strike w:val="0"/>
        <w:shd w:val="clear" w:color="auto" w:fill="auto"/>
        <w:vertAlign w:val="baseline"/>
      </w:rPr>
    </w:lvl>
    <w:lvl w:ilvl="6">
      <w:start w:val="1"/>
      <w:numFmt w:val="decimal"/>
      <w:lvlText w:val="%7."/>
      <w:lvlJc w:val="left"/>
      <w:pPr>
        <w:ind w:left="4680" w:hanging="360"/>
      </w:pPr>
      <w:rPr>
        <w:b/>
        <w:smallCaps w:val="0"/>
        <w:strike w:val="0"/>
        <w:shd w:val="clear" w:color="auto" w:fill="auto"/>
        <w:vertAlign w:val="baseline"/>
      </w:rPr>
    </w:lvl>
    <w:lvl w:ilvl="7">
      <w:start w:val="1"/>
      <w:numFmt w:val="lowerLetter"/>
      <w:lvlText w:val="%8."/>
      <w:lvlJc w:val="left"/>
      <w:pPr>
        <w:ind w:left="5400" w:hanging="360"/>
      </w:pPr>
      <w:rPr>
        <w:b/>
        <w:smallCaps w:val="0"/>
        <w:strike w:val="0"/>
        <w:shd w:val="clear" w:color="auto" w:fill="auto"/>
        <w:vertAlign w:val="baseline"/>
      </w:rPr>
    </w:lvl>
    <w:lvl w:ilvl="8">
      <w:start w:val="1"/>
      <w:numFmt w:val="lowerRoman"/>
      <w:lvlText w:val="%9."/>
      <w:lvlJc w:val="left"/>
      <w:pPr>
        <w:ind w:left="6120" w:hanging="295"/>
      </w:pPr>
      <w:rPr>
        <w:b/>
        <w:smallCaps w:val="0"/>
        <w:strike w:val="0"/>
        <w:shd w:val="clear" w:color="auto" w:fill="auto"/>
        <w:vertAlign w:val="baseline"/>
      </w:rPr>
    </w:lvl>
  </w:abstractNum>
  <w:abstractNum w:abstractNumId="9">
    <w:nsid w:val="7A6B2A3F"/>
    <w:multiLevelType w:val="multilevel"/>
    <w:tmpl w:val="C85AC69A"/>
    <w:lvl w:ilvl="0">
      <w:start w:val="3"/>
      <w:numFmt w:val="upperRoman"/>
      <w:lvlText w:val="%1."/>
      <w:lvlJc w:val="left"/>
      <w:pPr>
        <w:ind w:left="806" w:hanging="720"/>
      </w:pPr>
      <w:rPr>
        <w:b/>
        <w:smallCaps w:val="0"/>
        <w:strike w:val="0"/>
        <w:shd w:val="clear" w:color="auto" w:fill="auto"/>
        <w:vertAlign w:val="baseline"/>
      </w:rPr>
    </w:lvl>
    <w:lvl w:ilvl="1">
      <w:start w:val="1"/>
      <w:numFmt w:val="upperRoman"/>
      <w:lvlText w:val="%2."/>
      <w:lvlJc w:val="left"/>
      <w:pPr>
        <w:ind w:left="1481" w:hanging="508"/>
      </w:pPr>
      <w:rPr>
        <w:b/>
        <w:smallCaps w:val="0"/>
        <w:strike w:val="0"/>
        <w:shd w:val="clear" w:color="auto" w:fill="auto"/>
        <w:vertAlign w:val="baseline"/>
      </w:rPr>
    </w:lvl>
    <w:lvl w:ilvl="2">
      <w:start w:val="1"/>
      <w:numFmt w:val="lowerRoman"/>
      <w:lvlText w:val="%3."/>
      <w:lvlJc w:val="left"/>
      <w:pPr>
        <w:ind w:left="2156" w:hanging="295"/>
      </w:pPr>
      <w:rPr>
        <w:b/>
        <w:smallCaps w:val="0"/>
        <w:strike w:val="0"/>
        <w:shd w:val="clear" w:color="auto" w:fill="auto"/>
        <w:vertAlign w:val="baseline"/>
      </w:rPr>
    </w:lvl>
    <w:lvl w:ilvl="3">
      <w:start w:val="1"/>
      <w:numFmt w:val="decimal"/>
      <w:lvlText w:val="%4."/>
      <w:lvlJc w:val="left"/>
      <w:pPr>
        <w:ind w:left="2876" w:hanging="360"/>
      </w:pPr>
      <w:rPr>
        <w:b/>
        <w:smallCaps w:val="0"/>
        <w:strike w:val="0"/>
        <w:shd w:val="clear" w:color="auto" w:fill="auto"/>
        <w:vertAlign w:val="baseline"/>
      </w:rPr>
    </w:lvl>
    <w:lvl w:ilvl="4">
      <w:start w:val="1"/>
      <w:numFmt w:val="lowerLetter"/>
      <w:lvlText w:val="%5."/>
      <w:lvlJc w:val="left"/>
      <w:pPr>
        <w:ind w:left="3596" w:hanging="360"/>
      </w:pPr>
      <w:rPr>
        <w:b/>
        <w:smallCaps w:val="0"/>
        <w:strike w:val="0"/>
        <w:shd w:val="clear" w:color="auto" w:fill="auto"/>
        <w:vertAlign w:val="baseline"/>
      </w:rPr>
    </w:lvl>
    <w:lvl w:ilvl="5">
      <w:start w:val="1"/>
      <w:numFmt w:val="lowerRoman"/>
      <w:lvlText w:val="%6."/>
      <w:lvlJc w:val="left"/>
      <w:pPr>
        <w:ind w:left="4316" w:hanging="295"/>
      </w:pPr>
      <w:rPr>
        <w:b/>
        <w:smallCaps w:val="0"/>
        <w:strike w:val="0"/>
        <w:shd w:val="clear" w:color="auto" w:fill="auto"/>
        <w:vertAlign w:val="baseline"/>
      </w:rPr>
    </w:lvl>
    <w:lvl w:ilvl="6">
      <w:start w:val="1"/>
      <w:numFmt w:val="decimal"/>
      <w:lvlText w:val="%7."/>
      <w:lvlJc w:val="left"/>
      <w:pPr>
        <w:ind w:left="5036" w:hanging="360"/>
      </w:pPr>
      <w:rPr>
        <w:b/>
        <w:smallCaps w:val="0"/>
        <w:strike w:val="0"/>
        <w:shd w:val="clear" w:color="auto" w:fill="auto"/>
        <w:vertAlign w:val="baseline"/>
      </w:rPr>
    </w:lvl>
    <w:lvl w:ilvl="7">
      <w:start w:val="1"/>
      <w:numFmt w:val="lowerLetter"/>
      <w:lvlText w:val="%8."/>
      <w:lvlJc w:val="left"/>
      <w:pPr>
        <w:ind w:left="5756" w:hanging="360"/>
      </w:pPr>
      <w:rPr>
        <w:b/>
        <w:smallCaps w:val="0"/>
        <w:strike w:val="0"/>
        <w:shd w:val="clear" w:color="auto" w:fill="auto"/>
        <w:vertAlign w:val="baseline"/>
      </w:rPr>
    </w:lvl>
    <w:lvl w:ilvl="8">
      <w:start w:val="1"/>
      <w:numFmt w:val="lowerRoman"/>
      <w:lvlText w:val="%9."/>
      <w:lvlJc w:val="left"/>
      <w:pPr>
        <w:ind w:left="6476" w:hanging="295"/>
      </w:pPr>
      <w:rPr>
        <w:b/>
        <w:smallCaps w:val="0"/>
        <w:strike w:val="0"/>
        <w:shd w:val="clear" w:color="auto" w:fill="auto"/>
        <w:vertAlign w:val="baseline"/>
      </w:rPr>
    </w:lvl>
  </w:abstractNum>
  <w:num w:numId="1">
    <w:abstractNumId w:val="0"/>
  </w:num>
  <w:num w:numId="2">
    <w:abstractNumId w:val="5"/>
  </w:num>
  <w:num w:numId="3">
    <w:abstractNumId w:val="4"/>
  </w:num>
  <w:num w:numId="4">
    <w:abstractNumId w:val="6"/>
  </w:num>
  <w:num w:numId="5">
    <w:abstractNumId w:val="9"/>
  </w:num>
  <w:num w:numId="6">
    <w:abstractNumId w:val="3"/>
  </w:num>
  <w:num w:numId="7">
    <w:abstractNumId w:val="2"/>
  </w:num>
  <w:num w:numId="8">
    <w:abstractNumId w:val="7"/>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F06"/>
    <w:rsid w:val="00052BDF"/>
    <w:rsid w:val="000B035A"/>
    <w:rsid w:val="001137B0"/>
    <w:rsid w:val="00153B05"/>
    <w:rsid w:val="00273135"/>
    <w:rsid w:val="00305EC2"/>
    <w:rsid w:val="0041352E"/>
    <w:rsid w:val="004E456B"/>
    <w:rsid w:val="008638B7"/>
    <w:rsid w:val="00885632"/>
    <w:rsid w:val="00885FDA"/>
    <w:rsid w:val="009B2927"/>
    <w:rsid w:val="009C21CE"/>
    <w:rsid w:val="009E53B1"/>
    <w:rsid w:val="00A54844"/>
    <w:rsid w:val="00C06144"/>
    <w:rsid w:val="00D80F06"/>
    <w:rsid w:val="00EF3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9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pBdr>
        <w:top w:val="none" w:sz="0" w:space="0" w:color="000000"/>
        <w:left w:val="none" w:sz="0" w:space="0" w:color="000000"/>
        <w:bottom w:val="none" w:sz="0" w:space="0" w:color="000000"/>
        <w:right w:val="none" w:sz="0" w:space="0" w:color="000000"/>
        <w:between w:val="none" w:sz="0" w:space="0" w:color="000000"/>
      </w:pBdr>
      <w:spacing w:before="100" w:after="10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061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144"/>
    <w:rPr>
      <w:rFonts w:ascii="Segoe UI" w:hAnsi="Segoe UI" w:cs="Segoe UI"/>
      <w:sz w:val="18"/>
      <w:szCs w:val="18"/>
    </w:rPr>
  </w:style>
  <w:style w:type="paragraph" w:styleId="Revision">
    <w:name w:val="Revision"/>
    <w:hidden/>
    <w:uiPriority w:val="99"/>
    <w:semiHidden/>
    <w:rsid w:val="00273135"/>
    <w:pPr>
      <w:pBdr>
        <w:top w:val="none" w:sz="0" w:space="0" w:color="auto"/>
        <w:left w:val="none" w:sz="0" w:space="0" w:color="auto"/>
        <w:bottom w:val="none" w:sz="0" w:space="0" w:color="auto"/>
        <w:right w:val="none" w:sz="0" w:space="0" w:color="auto"/>
        <w:between w:val="none" w:sz="0" w:space="0" w:color="auto"/>
      </w:pBdr>
    </w:pPr>
  </w:style>
  <w:style w:type="paragraph" w:styleId="CommentSubject">
    <w:name w:val="annotation subject"/>
    <w:basedOn w:val="CommentText"/>
    <w:next w:val="CommentText"/>
    <w:link w:val="CommentSubjectChar"/>
    <w:uiPriority w:val="99"/>
    <w:semiHidden/>
    <w:unhideWhenUsed/>
    <w:rsid w:val="00273135"/>
    <w:rPr>
      <w:b/>
      <w:bCs/>
    </w:rPr>
  </w:style>
  <w:style w:type="character" w:customStyle="1" w:styleId="CommentSubjectChar">
    <w:name w:val="Comment Subject Char"/>
    <w:basedOn w:val="CommentTextChar"/>
    <w:link w:val="CommentSubject"/>
    <w:uiPriority w:val="99"/>
    <w:semiHidden/>
    <w:rsid w:val="0027313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pBdr>
        <w:top w:val="none" w:sz="0" w:space="0" w:color="000000"/>
        <w:left w:val="none" w:sz="0" w:space="0" w:color="000000"/>
        <w:bottom w:val="none" w:sz="0" w:space="0" w:color="000000"/>
        <w:right w:val="none" w:sz="0" w:space="0" w:color="000000"/>
        <w:between w:val="none" w:sz="0" w:space="0" w:color="000000"/>
      </w:pBdr>
      <w:spacing w:before="100" w:after="10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061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144"/>
    <w:rPr>
      <w:rFonts w:ascii="Segoe UI" w:hAnsi="Segoe UI" w:cs="Segoe UI"/>
      <w:sz w:val="18"/>
      <w:szCs w:val="18"/>
    </w:rPr>
  </w:style>
  <w:style w:type="paragraph" w:styleId="Revision">
    <w:name w:val="Revision"/>
    <w:hidden/>
    <w:uiPriority w:val="99"/>
    <w:semiHidden/>
    <w:rsid w:val="00273135"/>
    <w:pPr>
      <w:pBdr>
        <w:top w:val="none" w:sz="0" w:space="0" w:color="auto"/>
        <w:left w:val="none" w:sz="0" w:space="0" w:color="auto"/>
        <w:bottom w:val="none" w:sz="0" w:space="0" w:color="auto"/>
        <w:right w:val="none" w:sz="0" w:space="0" w:color="auto"/>
        <w:between w:val="none" w:sz="0" w:space="0" w:color="auto"/>
      </w:pBdr>
    </w:pPr>
  </w:style>
  <w:style w:type="paragraph" w:styleId="CommentSubject">
    <w:name w:val="annotation subject"/>
    <w:basedOn w:val="CommentText"/>
    <w:next w:val="CommentText"/>
    <w:link w:val="CommentSubjectChar"/>
    <w:uiPriority w:val="99"/>
    <w:semiHidden/>
    <w:unhideWhenUsed/>
    <w:rsid w:val="00273135"/>
    <w:rPr>
      <w:b/>
      <w:bCs/>
    </w:rPr>
  </w:style>
  <w:style w:type="character" w:customStyle="1" w:styleId="CommentSubjectChar">
    <w:name w:val="Comment Subject Char"/>
    <w:basedOn w:val="CommentTextChar"/>
    <w:link w:val="CommentSubject"/>
    <w:uiPriority w:val="99"/>
    <w:semiHidden/>
    <w:rsid w:val="002731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nes@a-klaw.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puc.ca.gov/General.aspx?id=9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 Reid (local)</dc:creator>
  <cp:lastModifiedBy>Lamming, Jean A.</cp:lastModifiedBy>
  <cp:revision>2</cp:revision>
  <dcterms:created xsi:type="dcterms:W3CDTF">2018-03-06T00:51:00Z</dcterms:created>
  <dcterms:modified xsi:type="dcterms:W3CDTF">2018-03-06T00:51:00Z</dcterms:modified>
</cp:coreProperties>
</file>