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155B" w14:textId="7018B954" w:rsidR="00CC4DBB" w:rsidRDefault="000A69C2" w:rsidP="00421E5E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  <w:b/>
          <w:bCs/>
          <w:color w:val="7030A0"/>
        </w:rPr>
        <w:t>Bear Valley Electric</w:t>
      </w:r>
      <w:r w:rsidR="00B9638F">
        <w:rPr>
          <w:rFonts w:ascii="Garamond" w:hAnsi="Garamond" w:cs="Calibri"/>
          <w:b/>
          <w:bCs/>
          <w:color w:val="7030A0"/>
        </w:rPr>
        <w:t xml:space="preserve"> </w:t>
      </w:r>
      <w:r>
        <w:rPr>
          <w:rFonts w:ascii="Garamond" w:hAnsi="Garamond" w:cs="Calibri"/>
          <w:b/>
          <w:bCs/>
          <w:color w:val="7030A0"/>
        </w:rPr>
        <w:t>Service</w:t>
      </w:r>
      <w:r w:rsidR="00B9638F">
        <w:rPr>
          <w:rFonts w:ascii="Garamond" w:hAnsi="Garamond" w:cs="Calibri"/>
          <w:b/>
          <w:bCs/>
          <w:color w:val="7030A0"/>
        </w:rPr>
        <w:t xml:space="preserve"> </w:t>
      </w:r>
      <w:r>
        <w:rPr>
          <w:rFonts w:ascii="Garamond" w:hAnsi="Garamond" w:cs="Calibri"/>
          <w:b/>
          <w:bCs/>
          <w:color w:val="7030A0"/>
        </w:rPr>
        <w:t>(B</w:t>
      </w:r>
      <w:r w:rsidR="003F1F30">
        <w:rPr>
          <w:rFonts w:ascii="Garamond" w:hAnsi="Garamond" w:cs="Calibri"/>
          <w:b/>
          <w:bCs/>
          <w:color w:val="7030A0"/>
        </w:rPr>
        <w:t>VES</w:t>
      </w:r>
      <w:r>
        <w:rPr>
          <w:rFonts w:ascii="Garamond" w:hAnsi="Garamond" w:cs="Calibri"/>
          <w:b/>
          <w:bCs/>
          <w:color w:val="7030A0"/>
        </w:rPr>
        <w:t xml:space="preserve">) </w:t>
      </w:r>
      <w:r w:rsidR="00421E5E" w:rsidRPr="00DE00A6">
        <w:rPr>
          <w:rFonts w:ascii="Garamond" w:hAnsi="Garamond" w:cs="Calibri"/>
          <w:b/>
          <w:bCs/>
          <w:color w:val="7030A0"/>
        </w:rPr>
        <w:t xml:space="preserve">Advice Letter </w:t>
      </w:r>
      <w:r w:rsidR="0061629D">
        <w:rPr>
          <w:rFonts w:ascii="Garamond" w:hAnsi="Garamond" w:cs="Calibri"/>
          <w:b/>
          <w:bCs/>
          <w:color w:val="7030A0"/>
        </w:rPr>
        <w:t xml:space="preserve">(AL) </w:t>
      </w:r>
      <w:r w:rsidR="005C1999">
        <w:rPr>
          <w:rFonts w:ascii="Garamond" w:hAnsi="Garamond" w:cs="Calibri"/>
          <w:b/>
          <w:bCs/>
          <w:color w:val="7030A0"/>
        </w:rPr>
        <w:t>4</w:t>
      </w:r>
      <w:r w:rsidR="00472E2E">
        <w:rPr>
          <w:rFonts w:ascii="Garamond" w:hAnsi="Garamond" w:cs="Calibri"/>
          <w:b/>
          <w:bCs/>
          <w:color w:val="7030A0"/>
        </w:rPr>
        <w:t>43</w:t>
      </w:r>
      <w:r w:rsidR="00310A0A">
        <w:rPr>
          <w:rFonts w:ascii="Garamond" w:hAnsi="Garamond" w:cs="Calibri"/>
          <w:b/>
          <w:bCs/>
          <w:color w:val="7030A0"/>
        </w:rPr>
        <w:t xml:space="preserve">-E </w:t>
      </w:r>
      <w:r w:rsidR="00421E5E" w:rsidRPr="00DE00A6">
        <w:rPr>
          <w:rFonts w:ascii="Garamond" w:hAnsi="Garamond" w:cs="Calibri"/>
          <w:b/>
          <w:bCs/>
          <w:color w:val="7030A0"/>
        </w:rPr>
        <w:t xml:space="preserve">– </w:t>
      </w:r>
      <w:r w:rsidR="00F7758E">
        <w:rPr>
          <w:rFonts w:ascii="Garamond" w:hAnsi="Garamond" w:cs="Calibri"/>
        </w:rPr>
        <w:t xml:space="preserve">The </w:t>
      </w:r>
      <w:r w:rsidR="00BC713D" w:rsidRPr="00DE00A6">
        <w:rPr>
          <w:rFonts w:ascii="Garamond" w:hAnsi="Garamond" w:cs="Calibri"/>
        </w:rPr>
        <w:t xml:space="preserve">CPUC </w:t>
      </w:r>
      <w:r w:rsidR="000A3D60">
        <w:rPr>
          <w:rFonts w:ascii="Garamond" w:hAnsi="Garamond" w:cs="Calibri"/>
        </w:rPr>
        <w:t xml:space="preserve">has </w:t>
      </w:r>
      <w:r w:rsidR="00310A0A">
        <w:rPr>
          <w:rFonts w:ascii="Garamond" w:hAnsi="Garamond" w:cs="Calibri"/>
        </w:rPr>
        <w:t>authorized</w:t>
      </w:r>
      <w:r w:rsidR="00834443">
        <w:rPr>
          <w:rFonts w:ascii="Garamond" w:hAnsi="Garamond" w:cs="Calibri"/>
        </w:rPr>
        <w:t xml:space="preserve"> </w:t>
      </w:r>
      <w:r w:rsidR="00F75DDC">
        <w:rPr>
          <w:rFonts w:ascii="Garamond" w:hAnsi="Garamond" w:cs="Calibri"/>
        </w:rPr>
        <w:t xml:space="preserve">BVES </w:t>
      </w:r>
      <w:r w:rsidR="00310A0A">
        <w:rPr>
          <w:rFonts w:ascii="Garamond" w:hAnsi="Garamond" w:cs="Calibri"/>
        </w:rPr>
        <w:t xml:space="preserve">to </w:t>
      </w:r>
      <w:r w:rsidR="00884C62">
        <w:rPr>
          <w:rFonts w:ascii="Garamond" w:hAnsi="Garamond" w:cs="Calibri"/>
        </w:rPr>
        <w:t xml:space="preserve">annually recover </w:t>
      </w:r>
      <w:r w:rsidR="00310A0A">
        <w:rPr>
          <w:rFonts w:ascii="Garamond" w:hAnsi="Garamond" w:cs="Calibri"/>
        </w:rPr>
        <w:t>balances in its regulatory accounts</w:t>
      </w:r>
      <w:r w:rsidR="00714BC6">
        <w:rPr>
          <w:rFonts w:ascii="Garamond" w:hAnsi="Garamond" w:cs="Calibri"/>
        </w:rPr>
        <w:t xml:space="preserve"> (D.19-08-027)</w:t>
      </w:r>
      <w:r w:rsidR="00310A0A">
        <w:rPr>
          <w:rFonts w:ascii="Garamond" w:hAnsi="Garamond" w:cs="Calibri"/>
        </w:rPr>
        <w:t xml:space="preserve">. This advice letter </w:t>
      </w:r>
      <w:r w:rsidR="00D915F8">
        <w:rPr>
          <w:rFonts w:ascii="Garamond" w:hAnsi="Garamond" w:cs="Calibri"/>
        </w:rPr>
        <w:t xml:space="preserve">adjusts rates due to changed balances </w:t>
      </w:r>
      <w:r w:rsidR="00F47068">
        <w:rPr>
          <w:rFonts w:ascii="Garamond" w:hAnsi="Garamond" w:cs="Calibri"/>
        </w:rPr>
        <w:t xml:space="preserve">in </w:t>
      </w:r>
      <w:r w:rsidR="001A52CF">
        <w:rPr>
          <w:rFonts w:ascii="Garamond" w:hAnsi="Garamond" w:cs="Calibri"/>
        </w:rPr>
        <w:t>several balancing accounts related to costs for electric operations, maintenance and capital</w:t>
      </w:r>
      <w:r w:rsidR="003D257E">
        <w:rPr>
          <w:rFonts w:ascii="Garamond" w:hAnsi="Garamond" w:cs="Calibri"/>
        </w:rPr>
        <w:t xml:space="preserve"> and </w:t>
      </w:r>
      <w:r w:rsidR="001A52CF">
        <w:rPr>
          <w:rFonts w:ascii="Garamond" w:hAnsi="Garamond" w:cs="Calibri"/>
        </w:rPr>
        <w:t>employee pensions</w:t>
      </w:r>
      <w:r w:rsidR="003D257E">
        <w:rPr>
          <w:rFonts w:ascii="Garamond" w:hAnsi="Garamond" w:cs="Calibri"/>
        </w:rPr>
        <w:t>.</w:t>
      </w:r>
      <w:r w:rsidR="001A52CF">
        <w:rPr>
          <w:rFonts w:ascii="Garamond" w:hAnsi="Garamond" w:cs="Calibri"/>
        </w:rPr>
        <w:t xml:space="preserve"> The adjustments also involve Bear Valley’s </w:t>
      </w:r>
      <w:r w:rsidR="00CC4DBB">
        <w:rPr>
          <w:rFonts w:ascii="Garamond" w:hAnsi="Garamond" w:cs="Calibri"/>
        </w:rPr>
        <w:t xml:space="preserve">share of </w:t>
      </w:r>
      <w:r w:rsidR="0047071F">
        <w:rPr>
          <w:rFonts w:ascii="Garamond" w:hAnsi="Garamond" w:cs="Calibri"/>
        </w:rPr>
        <w:t xml:space="preserve">certain </w:t>
      </w:r>
      <w:r w:rsidR="003F1F30">
        <w:rPr>
          <w:rFonts w:ascii="Garamond" w:hAnsi="Garamond" w:cs="Calibri"/>
        </w:rPr>
        <w:t xml:space="preserve">costs </w:t>
      </w:r>
      <w:r w:rsidR="00CC4DBB">
        <w:rPr>
          <w:rFonts w:ascii="Garamond" w:hAnsi="Garamond" w:cs="Calibri"/>
        </w:rPr>
        <w:t>incurred by its parent company, Golden State Water Company (Golden State).</w:t>
      </w:r>
      <w:r w:rsidR="001761B5">
        <w:rPr>
          <w:rStyle w:val="FootnoteReference"/>
          <w:rFonts w:ascii="Garamond" w:hAnsi="Garamond" w:cs="Calibri"/>
        </w:rPr>
        <w:footnoteReference w:id="1"/>
      </w:r>
    </w:p>
    <w:p w14:paraId="31EE0579" w14:textId="77777777" w:rsidR="005A3953" w:rsidRDefault="005A3953" w:rsidP="00421E5E">
      <w:pPr>
        <w:ind w:firstLine="0"/>
        <w:rPr>
          <w:rFonts w:ascii="Garamond" w:hAnsi="Garamond" w:cs="Calibri"/>
        </w:rPr>
      </w:pPr>
    </w:p>
    <w:p w14:paraId="1354BC64" w14:textId="77777777" w:rsidR="00421E5E" w:rsidRPr="009A4345" w:rsidRDefault="00421E5E" w:rsidP="00421E5E">
      <w:pPr>
        <w:pBdr>
          <w:bottom w:val="dotted" w:sz="24" w:space="1" w:color="auto"/>
        </w:pBdr>
        <w:ind w:firstLine="0"/>
        <w:rPr>
          <w:rFonts w:ascii="Garamond" w:hAnsi="Garamond" w:cs="Calibri"/>
          <w:b/>
          <w:bCs/>
          <w:sz w:val="14"/>
          <w:szCs w:val="14"/>
        </w:rPr>
      </w:pPr>
    </w:p>
    <w:p w14:paraId="34CBFC1B" w14:textId="77777777" w:rsidR="00421E5E" w:rsidRPr="009A4345" w:rsidRDefault="00421E5E" w:rsidP="00421E5E">
      <w:pPr>
        <w:pStyle w:val="ListParagraph"/>
        <w:ind w:left="360" w:firstLine="0"/>
        <w:rPr>
          <w:rFonts w:ascii="Garamond" w:hAnsi="Garamond" w:cs="Calibri"/>
          <w:sz w:val="14"/>
          <w:szCs w:val="14"/>
          <w:u w:val="single"/>
        </w:rPr>
      </w:pPr>
    </w:p>
    <w:p w14:paraId="10935EFE" w14:textId="4EE8D4F5" w:rsidR="002164F7" w:rsidRPr="002164F7" w:rsidRDefault="00AC796F" w:rsidP="00AF0AD6">
      <w:pPr>
        <w:ind w:firstLine="0"/>
        <w:jc w:val="center"/>
        <w:rPr>
          <w:rFonts w:ascii="Garamond" w:hAnsi="Garamond" w:cs="Calibri"/>
          <w:b/>
          <w:bCs/>
          <w:u w:val="single"/>
        </w:rPr>
      </w:pPr>
      <w:r>
        <w:rPr>
          <w:rFonts w:ascii="Garamond" w:hAnsi="Garamond" w:cs="Calibri"/>
          <w:b/>
          <w:bCs/>
          <w:u w:val="single"/>
        </w:rPr>
        <w:t xml:space="preserve">Estimated </w:t>
      </w:r>
      <w:r w:rsidR="002164F7">
        <w:rPr>
          <w:rFonts w:ascii="Garamond" w:hAnsi="Garamond" w:cs="Calibri"/>
          <w:b/>
          <w:bCs/>
          <w:u w:val="single"/>
        </w:rPr>
        <w:t>B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ill </w:t>
      </w:r>
      <w:r w:rsidR="002164F7">
        <w:rPr>
          <w:rFonts w:ascii="Garamond" w:hAnsi="Garamond" w:cs="Calibri"/>
          <w:b/>
          <w:bCs/>
          <w:u w:val="single"/>
        </w:rPr>
        <w:t>I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mpacts </w:t>
      </w:r>
      <w:r w:rsidR="002164F7">
        <w:rPr>
          <w:rFonts w:ascii="Garamond" w:hAnsi="Garamond" w:cs="Calibri"/>
          <w:b/>
          <w:bCs/>
          <w:u w:val="single"/>
        </w:rPr>
        <w:t>of A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ll </w:t>
      </w:r>
      <w:r w:rsidR="002164F7">
        <w:rPr>
          <w:rFonts w:ascii="Garamond" w:hAnsi="Garamond" w:cs="Calibri"/>
          <w:b/>
          <w:bCs/>
          <w:u w:val="single"/>
        </w:rPr>
        <w:t>R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equested </w:t>
      </w:r>
      <w:r w:rsidR="002164F7">
        <w:rPr>
          <w:rFonts w:ascii="Garamond" w:hAnsi="Garamond" w:cs="Calibri"/>
          <w:b/>
          <w:bCs/>
          <w:u w:val="single"/>
        </w:rPr>
        <w:t>R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ate </w:t>
      </w:r>
      <w:r w:rsidR="002164F7">
        <w:rPr>
          <w:rFonts w:ascii="Garamond" w:hAnsi="Garamond" w:cs="Calibri"/>
          <w:b/>
          <w:bCs/>
          <w:u w:val="single"/>
        </w:rPr>
        <w:t>C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hanges </w:t>
      </w:r>
      <w:r w:rsidR="002164F7">
        <w:rPr>
          <w:rFonts w:ascii="Garamond" w:hAnsi="Garamond" w:cs="Calibri"/>
          <w:b/>
          <w:bCs/>
          <w:u w:val="single"/>
        </w:rPr>
        <w:t>E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ffective </w:t>
      </w:r>
      <w:r w:rsidR="000A69C2">
        <w:rPr>
          <w:rFonts w:ascii="Garamond" w:hAnsi="Garamond" w:cs="Calibri"/>
          <w:b/>
          <w:bCs/>
          <w:u w:val="single"/>
        </w:rPr>
        <w:t>June 30</w:t>
      </w:r>
      <w:r w:rsidR="002164F7" w:rsidRPr="002164F7">
        <w:rPr>
          <w:rFonts w:ascii="Garamond" w:hAnsi="Garamond" w:cs="Calibri"/>
          <w:b/>
          <w:bCs/>
          <w:u w:val="single"/>
        </w:rPr>
        <w:t>, 202</w:t>
      </w:r>
      <w:r w:rsidR="00472E2E">
        <w:rPr>
          <w:rFonts w:ascii="Garamond" w:hAnsi="Garamond" w:cs="Calibri"/>
          <w:b/>
          <w:bCs/>
          <w:u w:val="single"/>
        </w:rPr>
        <w:t>2</w:t>
      </w:r>
      <w:r w:rsidR="002164F7" w:rsidRPr="002164F7">
        <w:rPr>
          <w:rFonts w:ascii="Garamond" w:hAnsi="Garamond" w:cs="Calibri"/>
          <w:b/>
          <w:bCs/>
          <w:u w:val="single"/>
        </w:rPr>
        <w:t>:</w:t>
      </w:r>
    </w:p>
    <w:p w14:paraId="00AFFF2F" w14:textId="77777777" w:rsidR="002164F7" w:rsidRPr="00E97749" w:rsidRDefault="002164F7" w:rsidP="002164F7">
      <w:pPr>
        <w:ind w:firstLine="0"/>
        <w:rPr>
          <w:rFonts w:ascii="Garamond" w:hAnsi="Garamond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27768E" w14:paraId="20BC71F5" w14:textId="77777777" w:rsidTr="0048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7ADD576E" w14:textId="77777777" w:rsidR="002164F7" w:rsidRPr="00DE00A6" w:rsidRDefault="00CB4F96" w:rsidP="002164F7">
            <w:pPr>
              <w:ind w:firstLine="0"/>
              <w:jc w:val="center"/>
              <w:rPr>
                <w:rFonts w:ascii="Garamond" w:hAnsi="Garamond" w:cs="Calibri"/>
                <w:i/>
                <w:iCs/>
              </w:rPr>
            </w:pPr>
            <w:r>
              <w:rPr>
                <w:rFonts w:ascii="Garamond" w:hAnsi="Garamond" w:cs="Calibri"/>
              </w:rPr>
              <w:t xml:space="preserve">Estimated </w:t>
            </w:r>
            <w:r w:rsidR="002164F7" w:rsidRPr="00DE00A6">
              <w:rPr>
                <w:rFonts w:ascii="Garamond" w:hAnsi="Garamond" w:cs="Calibri"/>
              </w:rPr>
              <w:t>Electric Bill Impacts</w:t>
            </w:r>
            <w:r w:rsidR="001761B5">
              <w:rPr>
                <w:rStyle w:val="FootnoteReference"/>
                <w:rFonts w:ascii="Garamond" w:hAnsi="Garamond" w:cs="Calibri"/>
              </w:rPr>
              <w:footnoteReference w:id="2"/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1870215B" w14:textId="553E89C1" w:rsidR="002164F7" w:rsidRPr="00DE00A6" w:rsidRDefault="000A69C2" w:rsidP="009C489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Bear Valley</w:t>
            </w:r>
            <w:r w:rsidR="002164F7" w:rsidRPr="00DE00A6">
              <w:rPr>
                <w:rFonts w:ascii="Garamond" w:hAnsi="Garamond" w:cs="Calibri"/>
              </w:rPr>
              <w:t xml:space="preserve"> – </w:t>
            </w:r>
            <w:r>
              <w:rPr>
                <w:rFonts w:ascii="Garamond" w:hAnsi="Garamond" w:cs="Calibri"/>
              </w:rPr>
              <w:t>June 30</w:t>
            </w:r>
            <w:r w:rsidR="002164F7" w:rsidRPr="00DE00A6">
              <w:rPr>
                <w:rFonts w:ascii="Garamond" w:hAnsi="Garamond" w:cs="Calibri"/>
              </w:rPr>
              <w:t xml:space="preserve"> 202</w:t>
            </w:r>
            <w:r w:rsidR="00472E2E">
              <w:rPr>
                <w:rFonts w:ascii="Garamond" w:hAnsi="Garamond" w:cs="Calibri"/>
              </w:rPr>
              <w:t>2</w:t>
            </w:r>
          </w:p>
        </w:tc>
      </w:tr>
      <w:tr w:rsidR="002164F7" w:rsidRPr="0027768E" w14:paraId="1C1017AD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786C8BEF" w14:textId="77777777" w:rsidR="002164F7" w:rsidRPr="00DE00A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>Average Residential N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>on-CARE electric bill</w:t>
            </w:r>
          </w:p>
        </w:tc>
        <w:tc>
          <w:tcPr>
            <w:tcW w:w="3944" w:type="dxa"/>
            <w:shd w:val="clear" w:color="auto" w:fill="00B0F0"/>
          </w:tcPr>
          <w:p w14:paraId="7741380C" w14:textId="2F059C75" w:rsidR="002164F7" w:rsidRPr="00DE00A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</w:t>
            </w:r>
            <w:r w:rsidR="00F46AF3">
              <w:rPr>
                <w:rFonts w:ascii="Garamond" w:hAnsi="Garamond" w:cs="Calibri"/>
              </w:rPr>
              <w:t>7</w:t>
            </w:r>
            <w:r w:rsidR="00472E2E">
              <w:rPr>
                <w:rFonts w:ascii="Garamond" w:hAnsi="Garamond" w:cs="Calibri"/>
              </w:rPr>
              <w:t>4.</w:t>
            </w:r>
            <w:r w:rsidR="00630580">
              <w:rPr>
                <w:rFonts w:ascii="Garamond" w:hAnsi="Garamond" w:cs="Calibri"/>
              </w:rPr>
              <w:t>31</w:t>
            </w:r>
          </w:p>
        </w:tc>
      </w:tr>
      <w:tr w:rsidR="002164F7" w:rsidRPr="0027768E" w14:paraId="18BEF96E" w14:textId="77777777" w:rsidTr="004876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3069104E" w14:textId="77777777" w:rsidR="002164F7" w:rsidRPr="00DE00A6" w:rsidRDefault="00154274" w:rsidP="002A41E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>Average Residential N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 xml:space="preserve">on-CARE electric bill </w:t>
            </w:r>
            <w:r w:rsidR="00F46AF3">
              <w:rPr>
                <w:rFonts w:ascii="Garamond" w:hAnsi="Garamond" w:cs="Calibri"/>
                <w:b w:val="0"/>
                <w:bCs w:val="0"/>
              </w:rPr>
              <w:t>decrease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49A34C9D" w14:textId="3527D7F5" w:rsidR="002164F7" w:rsidRPr="00DE00A6" w:rsidRDefault="00F46AF3" w:rsidP="002A41E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</w:t>
            </w:r>
            <w:r w:rsidR="00B177DF">
              <w:rPr>
                <w:rFonts w:ascii="Garamond" w:hAnsi="Garamond" w:cs="Calibri"/>
              </w:rPr>
              <w:t>-$0.12 (-</w:t>
            </w:r>
            <w:r w:rsidR="003E463B">
              <w:rPr>
                <w:rFonts w:ascii="Garamond" w:hAnsi="Garamond" w:cs="Calibri"/>
              </w:rPr>
              <w:t>0.</w:t>
            </w:r>
            <w:r w:rsidR="00B177DF">
              <w:rPr>
                <w:rFonts w:ascii="Garamond" w:hAnsi="Garamond" w:cs="Calibri"/>
              </w:rPr>
              <w:t>2%)</w:t>
            </w:r>
          </w:p>
        </w:tc>
      </w:tr>
      <w:tr w:rsidR="002164F7" w:rsidRPr="0027768E" w14:paraId="5C60C2B9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7173B4FE" w14:textId="77777777" w:rsidR="002164F7" w:rsidRPr="00DE00A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 xml:space="preserve">Average 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>Residential CARE electric bill</w:t>
            </w:r>
          </w:p>
        </w:tc>
        <w:tc>
          <w:tcPr>
            <w:tcW w:w="3944" w:type="dxa"/>
            <w:shd w:val="clear" w:color="auto" w:fill="00B0F0"/>
          </w:tcPr>
          <w:p w14:paraId="7EF371C6" w14:textId="2114F266" w:rsidR="002164F7" w:rsidRPr="00DE00A6" w:rsidRDefault="002164F7" w:rsidP="0015427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 w:rsidR="00F46AF3">
              <w:rPr>
                <w:rFonts w:ascii="Garamond" w:hAnsi="Garamond" w:cs="Calibri"/>
              </w:rPr>
              <w:t>5</w:t>
            </w:r>
            <w:r w:rsidR="00472E2E">
              <w:rPr>
                <w:rFonts w:ascii="Garamond" w:hAnsi="Garamond" w:cs="Calibri"/>
              </w:rPr>
              <w:t>9.1</w:t>
            </w:r>
            <w:r w:rsidR="00630580">
              <w:rPr>
                <w:rFonts w:ascii="Garamond" w:hAnsi="Garamond" w:cs="Calibri"/>
              </w:rPr>
              <w:t>8</w:t>
            </w:r>
          </w:p>
        </w:tc>
      </w:tr>
      <w:tr w:rsidR="002164F7" w:rsidRPr="0027768E" w14:paraId="7827ED1B" w14:textId="77777777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071B0E8C" w14:textId="77777777" w:rsidR="002164F7" w:rsidRPr="00DE00A6" w:rsidRDefault="00D12D57" w:rsidP="00F65E8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 xml:space="preserve">Average 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 xml:space="preserve">Residential CARE electric bill </w:t>
            </w:r>
            <w:r w:rsidR="00F46AF3">
              <w:rPr>
                <w:rFonts w:ascii="Garamond" w:hAnsi="Garamond" w:cs="Calibri"/>
                <w:b w:val="0"/>
                <w:bCs w:val="0"/>
              </w:rPr>
              <w:t>decrease</w:t>
            </w:r>
          </w:p>
        </w:tc>
        <w:tc>
          <w:tcPr>
            <w:tcW w:w="3944" w:type="dxa"/>
          </w:tcPr>
          <w:p w14:paraId="3409D472" w14:textId="5313AEDB" w:rsidR="002164F7" w:rsidRPr="00DE00A6" w:rsidRDefault="00F75DDC" w:rsidP="002A41E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</w:t>
            </w:r>
            <w:r w:rsidR="00B177DF">
              <w:rPr>
                <w:rFonts w:ascii="Garamond" w:hAnsi="Garamond" w:cs="Calibri"/>
              </w:rPr>
              <w:t>-$0.10 (</w:t>
            </w:r>
            <w:r w:rsidR="00FE29B3">
              <w:rPr>
                <w:rFonts w:ascii="Garamond" w:hAnsi="Garamond" w:cs="Calibri"/>
              </w:rPr>
              <w:t>-0.</w:t>
            </w:r>
            <w:r w:rsidR="00B177DF">
              <w:rPr>
                <w:rFonts w:ascii="Garamond" w:hAnsi="Garamond" w:cs="Calibri"/>
              </w:rPr>
              <w:t>2%)</w:t>
            </w:r>
          </w:p>
        </w:tc>
      </w:tr>
    </w:tbl>
    <w:p w14:paraId="2EC020E4" w14:textId="77777777" w:rsidR="002164F7" w:rsidRPr="0027768E" w:rsidRDefault="002164F7" w:rsidP="002164F7">
      <w:pPr>
        <w:pStyle w:val="ListParagraph"/>
        <w:ind w:left="0" w:firstLine="0"/>
        <w:rPr>
          <w:rFonts w:ascii="Garamond" w:hAnsi="Garamond" w:cs="Calibri"/>
          <w:sz w:val="26"/>
          <w:szCs w:val="26"/>
        </w:rPr>
      </w:pPr>
    </w:p>
    <w:p w14:paraId="1BBA9CE1" w14:textId="77777777" w:rsidR="002164F7" w:rsidRPr="002164F7" w:rsidRDefault="002164F7" w:rsidP="002164F7">
      <w:pPr>
        <w:ind w:firstLine="0"/>
        <w:rPr>
          <w:rFonts w:ascii="Garamond" w:hAnsi="Garamond" w:cs="Calibri"/>
          <w:u w:val="single"/>
        </w:rPr>
      </w:pPr>
    </w:p>
    <w:p w14:paraId="6121133E" w14:textId="77777777" w:rsidR="00421E5E" w:rsidRPr="00A42FDB" w:rsidRDefault="001A52CF" w:rsidP="00DE6981">
      <w:pPr>
        <w:pStyle w:val="ListParagraph"/>
        <w:ind w:left="360" w:firstLine="0"/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Bear Valley electric rates will change based on the following:</w:t>
      </w:r>
    </w:p>
    <w:p w14:paraId="4CEC1182" w14:textId="77777777" w:rsidR="00664C8E" w:rsidRPr="00664C8E" w:rsidRDefault="00664C8E" w:rsidP="00664C8E">
      <w:pPr>
        <w:pStyle w:val="ListParagraph"/>
        <w:spacing w:before="120"/>
        <w:ind w:left="1080" w:firstLine="0"/>
        <w:rPr>
          <w:rFonts w:ascii="Garamond" w:hAnsi="Garamond" w:cs="Calibri"/>
          <w:sz w:val="14"/>
          <w:szCs w:val="14"/>
        </w:rPr>
      </w:pPr>
    </w:p>
    <w:p w14:paraId="176875DB" w14:textId="2BE9C2BB" w:rsidR="00332FF5" w:rsidRPr="00332FF5" w:rsidRDefault="00332FF5" w:rsidP="00332FF5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>
        <w:rPr>
          <w:rFonts w:ascii="Garamond" w:hAnsi="Garamond" w:cs="Calibri"/>
        </w:rPr>
        <w:t>The net total under-collected balance of $0.6</w:t>
      </w:r>
      <w:r w:rsidR="00FA0868">
        <w:rPr>
          <w:rFonts w:ascii="Garamond" w:hAnsi="Garamond" w:cs="Calibri"/>
        </w:rPr>
        <w:t>32</w:t>
      </w:r>
      <w:r>
        <w:rPr>
          <w:rFonts w:ascii="Garamond" w:hAnsi="Garamond" w:cs="Calibri"/>
        </w:rPr>
        <w:t xml:space="preserve"> million to be recovered over the next 12 months results in an overall electric bill </w:t>
      </w:r>
      <w:r w:rsidRPr="00C752CA">
        <w:rPr>
          <w:rFonts w:ascii="Garamond" w:hAnsi="Garamond" w:cs="Calibri"/>
          <w:b/>
          <w:bCs/>
          <w:color w:val="00B050"/>
        </w:rPr>
        <w:t>decrease</w:t>
      </w:r>
      <w:r w:rsidRPr="00C752CA">
        <w:rPr>
          <w:rFonts w:ascii="Garamond" w:hAnsi="Garamond" w:cs="Calibri"/>
          <w:color w:val="00B050"/>
        </w:rPr>
        <w:t xml:space="preserve"> </w:t>
      </w:r>
      <w:r>
        <w:rPr>
          <w:rFonts w:ascii="Garamond" w:hAnsi="Garamond" w:cs="Calibri"/>
        </w:rPr>
        <w:t>for both Non-Care and CARE residential customers.</w:t>
      </w:r>
      <w:r w:rsidR="001761B5">
        <w:rPr>
          <w:rStyle w:val="FootnoteReference"/>
          <w:rFonts w:ascii="Garamond" w:hAnsi="Garamond" w:cs="Calibri"/>
        </w:rPr>
        <w:footnoteReference w:id="3"/>
      </w:r>
    </w:p>
    <w:p w14:paraId="1D7E0CEE" w14:textId="204279C7" w:rsidR="00332FF5" w:rsidRPr="00332FF5" w:rsidRDefault="007B5F72" w:rsidP="00332FF5">
      <w:pPr>
        <w:pStyle w:val="ListParagraph"/>
        <w:numPr>
          <w:ilvl w:val="1"/>
          <w:numId w:val="3"/>
        </w:numPr>
        <w:spacing w:before="120"/>
        <w:rPr>
          <w:rFonts w:ascii="Garamond" w:hAnsi="Garamond" w:cs="Calibri"/>
        </w:rPr>
      </w:pPr>
      <w:r w:rsidRPr="007B5F72">
        <w:rPr>
          <w:rFonts w:ascii="Garamond" w:hAnsi="Garamond" w:cs="Calibri"/>
        </w:rPr>
        <w:t xml:space="preserve">BVES rates are decreasing </w:t>
      </w:r>
      <w:r w:rsidR="00493E52">
        <w:rPr>
          <w:rFonts w:ascii="Garamond" w:hAnsi="Garamond" w:cs="Calibri"/>
        </w:rPr>
        <w:t xml:space="preserve">in 2022 </w:t>
      </w:r>
      <w:r w:rsidRPr="007B5F72">
        <w:rPr>
          <w:rFonts w:ascii="Garamond" w:hAnsi="Garamond" w:cs="Calibri"/>
        </w:rPr>
        <w:t xml:space="preserve">because </w:t>
      </w:r>
      <w:r w:rsidR="00493E52">
        <w:rPr>
          <w:rFonts w:ascii="Garamond" w:hAnsi="Garamond" w:cs="Calibri"/>
        </w:rPr>
        <w:t>rates</w:t>
      </w:r>
      <w:r w:rsidRPr="007B5F72">
        <w:rPr>
          <w:rFonts w:ascii="Garamond" w:hAnsi="Garamond" w:cs="Calibri"/>
        </w:rPr>
        <w:t xml:space="preserve"> are based on lower costs for electric operations, maintenance</w:t>
      </w:r>
      <w:r w:rsidR="00BA01D2">
        <w:rPr>
          <w:rFonts w:ascii="Garamond" w:hAnsi="Garamond" w:cs="Calibri"/>
        </w:rPr>
        <w:t xml:space="preserve"> and</w:t>
      </w:r>
      <w:r w:rsidR="0049248B">
        <w:rPr>
          <w:rFonts w:ascii="Garamond" w:hAnsi="Garamond" w:cs="Calibri"/>
        </w:rPr>
        <w:t xml:space="preserve"> </w:t>
      </w:r>
      <w:r w:rsidRPr="007B5F72">
        <w:rPr>
          <w:rFonts w:ascii="Garamond" w:hAnsi="Garamond" w:cs="Calibri"/>
        </w:rPr>
        <w:t>capital</w:t>
      </w:r>
      <w:r w:rsidR="0049248B">
        <w:rPr>
          <w:rFonts w:ascii="Garamond" w:hAnsi="Garamond" w:cs="Calibri"/>
        </w:rPr>
        <w:t xml:space="preserve"> and </w:t>
      </w:r>
      <w:r w:rsidRPr="007B5F72">
        <w:rPr>
          <w:rFonts w:ascii="Garamond" w:hAnsi="Garamond" w:cs="Calibri"/>
        </w:rPr>
        <w:t>employee pensions</w:t>
      </w:r>
      <w:r w:rsidR="0049248B">
        <w:rPr>
          <w:rFonts w:ascii="Garamond" w:hAnsi="Garamond" w:cs="Calibri"/>
        </w:rPr>
        <w:t xml:space="preserve"> </w:t>
      </w:r>
      <w:r w:rsidRPr="007B5F72">
        <w:rPr>
          <w:rFonts w:ascii="Garamond" w:hAnsi="Garamond" w:cs="Calibri"/>
        </w:rPr>
        <w:t xml:space="preserve">than </w:t>
      </w:r>
      <w:r w:rsidR="00493E52">
        <w:rPr>
          <w:rFonts w:ascii="Garamond" w:hAnsi="Garamond" w:cs="Calibri"/>
        </w:rPr>
        <w:t xml:space="preserve">in </w:t>
      </w:r>
      <w:r w:rsidRPr="007B5F72">
        <w:rPr>
          <w:rFonts w:ascii="Garamond" w:hAnsi="Garamond" w:cs="Calibri"/>
        </w:rPr>
        <w:t>the previous year</w:t>
      </w:r>
      <w:r>
        <w:rPr>
          <w:rFonts w:ascii="Garamond" w:hAnsi="Garamond" w:cs="Calibri"/>
        </w:rPr>
        <w:t>.</w:t>
      </w:r>
      <w:r w:rsidR="00332FF5">
        <w:rPr>
          <w:rFonts w:ascii="Garamond" w:hAnsi="Garamond" w:cs="Calibri"/>
        </w:rPr>
        <w:t xml:space="preserve"> </w:t>
      </w:r>
    </w:p>
    <w:p w14:paraId="07C2CD0C" w14:textId="726E8C2B" w:rsidR="000A69C2" w:rsidRDefault="00FA0868" w:rsidP="00664C8E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Refund </w:t>
      </w:r>
      <w:r w:rsidR="007B5F72">
        <w:rPr>
          <w:rFonts w:ascii="Garamond" w:hAnsi="Garamond" w:cs="Calibri"/>
        </w:rPr>
        <w:t>of</w:t>
      </w:r>
      <w:r w:rsidR="004E53E5">
        <w:rPr>
          <w:rFonts w:ascii="Garamond" w:hAnsi="Garamond" w:cs="Calibri"/>
        </w:rPr>
        <w:t xml:space="preserve"> </w:t>
      </w:r>
      <w:r w:rsidR="000A69C2">
        <w:rPr>
          <w:rFonts w:ascii="Garamond" w:hAnsi="Garamond" w:cs="Calibri"/>
        </w:rPr>
        <w:t>$</w:t>
      </w:r>
      <w:r w:rsidR="000A027D">
        <w:rPr>
          <w:rFonts w:ascii="Garamond" w:hAnsi="Garamond" w:cs="Calibri"/>
        </w:rPr>
        <w:t>0.</w:t>
      </w:r>
      <w:r>
        <w:rPr>
          <w:rFonts w:ascii="Garamond" w:hAnsi="Garamond" w:cs="Calibri"/>
        </w:rPr>
        <w:t>013</w:t>
      </w:r>
      <w:r w:rsidR="000A027D">
        <w:rPr>
          <w:rFonts w:ascii="Garamond" w:hAnsi="Garamond" w:cs="Calibri"/>
        </w:rPr>
        <w:t xml:space="preserve"> </w:t>
      </w:r>
      <w:r w:rsidR="001C3D62">
        <w:rPr>
          <w:rFonts w:ascii="Garamond" w:hAnsi="Garamond" w:cs="Calibri"/>
        </w:rPr>
        <w:t>million fr</w:t>
      </w:r>
      <w:r w:rsidR="005009A9">
        <w:rPr>
          <w:rFonts w:ascii="Garamond" w:hAnsi="Garamond" w:cs="Calibri"/>
        </w:rPr>
        <w:t>om</w:t>
      </w:r>
      <w:r w:rsidR="001C3D62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 xml:space="preserve">the </w:t>
      </w:r>
      <w:r w:rsidR="000A027D">
        <w:rPr>
          <w:rFonts w:ascii="Garamond" w:hAnsi="Garamond" w:cs="Calibri"/>
        </w:rPr>
        <w:t>20</w:t>
      </w:r>
      <w:r>
        <w:rPr>
          <w:rFonts w:ascii="Garamond" w:hAnsi="Garamond" w:cs="Calibri"/>
        </w:rPr>
        <w:t>20</w:t>
      </w:r>
      <w:r w:rsidR="001C3D62">
        <w:rPr>
          <w:rFonts w:ascii="Garamond" w:hAnsi="Garamond" w:cs="Calibri"/>
        </w:rPr>
        <w:t xml:space="preserve"> </w:t>
      </w:r>
      <w:r w:rsidR="00F77E05">
        <w:rPr>
          <w:rFonts w:ascii="Garamond" w:hAnsi="Garamond" w:cs="Calibri"/>
        </w:rPr>
        <w:t>Base Revenue Requirement Adjustment Mechanism (</w:t>
      </w:r>
      <w:r w:rsidR="003F4B32">
        <w:rPr>
          <w:rFonts w:ascii="Garamond" w:hAnsi="Garamond" w:cs="Calibri"/>
        </w:rPr>
        <w:t>BRRAM</w:t>
      </w:r>
      <w:r w:rsidR="00F77E05">
        <w:rPr>
          <w:rFonts w:ascii="Garamond" w:hAnsi="Garamond" w:cs="Calibri"/>
        </w:rPr>
        <w:t xml:space="preserve">) </w:t>
      </w:r>
      <w:r w:rsidR="00E23303">
        <w:rPr>
          <w:rFonts w:ascii="Garamond" w:hAnsi="Garamond" w:cs="Calibri"/>
        </w:rPr>
        <w:t xml:space="preserve">residual </w:t>
      </w:r>
      <w:r w:rsidR="005009A9">
        <w:rPr>
          <w:rFonts w:ascii="Garamond" w:hAnsi="Garamond" w:cs="Calibri"/>
        </w:rPr>
        <w:t>balance</w:t>
      </w:r>
      <w:r w:rsidR="0049248B">
        <w:rPr>
          <w:rFonts w:ascii="Garamond" w:hAnsi="Garamond" w:cs="Calibri"/>
        </w:rPr>
        <w:t xml:space="preserve"> approved in AL 422-E.</w:t>
      </w:r>
    </w:p>
    <w:p w14:paraId="5740FCE1" w14:textId="3AAF517E" w:rsidR="0082532E" w:rsidRDefault="004E53E5" w:rsidP="00664C8E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>
        <w:rPr>
          <w:rFonts w:ascii="Garamond" w:hAnsi="Garamond" w:cs="Calibri"/>
        </w:rPr>
        <w:t>Recover</w:t>
      </w:r>
      <w:r w:rsidR="007B5F72">
        <w:rPr>
          <w:rFonts w:ascii="Garamond" w:hAnsi="Garamond" w:cs="Calibri"/>
        </w:rPr>
        <w:t>y of</w:t>
      </w:r>
      <w:r>
        <w:rPr>
          <w:rFonts w:ascii="Garamond" w:hAnsi="Garamond" w:cs="Calibri"/>
        </w:rPr>
        <w:t xml:space="preserve"> </w:t>
      </w:r>
      <w:r w:rsidR="00F46AF3">
        <w:rPr>
          <w:rFonts w:ascii="Garamond" w:hAnsi="Garamond" w:cs="Calibri"/>
        </w:rPr>
        <w:t>$</w:t>
      </w:r>
      <w:r w:rsidR="0082532E">
        <w:rPr>
          <w:rFonts w:ascii="Garamond" w:hAnsi="Garamond" w:cs="Calibri"/>
        </w:rPr>
        <w:t>0.</w:t>
      </w:r>
      <w:r w:rsidR="00FA0868">
        <w:rPr>
          <w:rFonts w:ascii="Garamond" w:hAnsi="Garamond" w:cs="Calibri"/>
        </w:rPr>
        <w:t>892</w:t>
      </w:r>
      <w:r w:rsidR="0082532E">
        <w:rPr>
          <w:rFonts w:ascii="Garamond" w:hAnsi="Garamond" w:cs="Calibri"/>
        </w:rPr>
        <w:t xml:space="preserve"> million </w:t>
      </w:r>
      <w:r w:rsidR="003F4B32">
        <w:rPr>
          <w:rFonts w:ascii="Garamond" w:hAnsi="Garamond" w:cs="Calibri"/>
        </w:rPr>
        <w:t xml:space="preserve">from </w:t>
      </w:r>
      <w:r w:rsidR="0082532E">
        <w:rPr>
          <w:rFonts w:ascii="Garamond" w:hAnsi="Garamond" w:cs="Calibri"/>
        </w:rPr>
        <w:t>the under-collect</w:t>
      </w:r>
      <w:r>
        <w:rPr>
          <w:rFonts w:ascii="Garamond" w:hAnsi="Garamond" w:cs="Calibri"/>
        </w:rPr>
        <w:t>ed</w:t>
      </w:r>
      <w:r w:rsidR="0082532E">
        <w:rPr>
          <w:rFonts w:ascii="Garamond" w:hAnsi="Garamond" w:cs="Calibri"/>
        </w:rPr>
        <w:t xml:space="preserve"> balance</w:t>
      </w:r>
      <w:r w:rsidR="0049248B">
        <w:rPr>
          <w:rFonts w:ascii="Garamond" w:hAnsi="Garamond" w:cs="Calibri"/>
        </w:rPr>
        <w:t xml:space="preserve"> recorded</w:t>
      </w:r>
      <w:r w:rsidR="0082532E">
        <w:rPr>
          <w:rFonts w:ascii="Garamond" w:hAnsi="Garamond" w:cs="Calibri"/>
        </w:rPr>
        <w:t xml:space="preserve"> in the 202</w:t>
      </w:r>
      <w:r w:rsidR="00FA0868">
        <w:rPr>
          <w:rFonts w:ascii="Garamond" w:hAnsi="Garamond" w:cs="Calibri"/>
        </w:rPr>
        <w:t>1</w:t>
      </w:r>
      <w:r w:rsidR="0082532E">
        <w:rPr>
          <w:rFonts w:ascii="Garamond" w:hAnsi="Garamond" w:cs="Calibri"/>
        </w:rPr>
        <w:t xml:space="preserve"> BRRAM</w:t>
      </w:r>
      <w:r w:rsidR="00F46AF3">
        <w:rPr>
          <w:rFonts w:ascii="Garamond" w:hAnsi="Garamond" w:cs="Calibri"/>
        </w:rPr>
        <w:t>.</w:t>
      </w:r>
    </w:p>
    <w:p w14:paraId="7332346D" w14:textId="3D8F40D9" w:rsidR="001C3D62" w:rsidRDefault="001C3D62" w:rsidP="00664C8E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Refund </w:t>
      </w:r>
      <w:r w:rsidR="007B5F72">
        <w:rPr>
          <w:rFonts w:ascii="Garamond" w:hAnsi="Garamond" w:cs="Calibri"/>
        </w:rPr>
        <w:t xml:space="preserve">of </w:t>
      </w:r>
      <w:r>
        <w:rPr>
          <w:rFonts w:ascii="Garamond" w:hAnsi="Garamond" w:cs="Calibri"/>
        </w:rPr>
        <w:t>$</w:t>
      </w:r>
      <w:r w:rsidR="000A027D">
        <w:rPr>
          <w:rFonts w:ascii="Garamond" w:hAnsi="Garamond" w:cs="Calibri"/>
        </w:rPr>
        <w:t>0.2</w:t>
      </w:r>
      <w:r w:rsidR="00FA0868">
        <w:rPr>
          <w:rFonts w:ascii="Garamond" w:hAnsi="Garamond" w:cs="Calibri"/>
        </w:rPr>
        <w:t>46</w:t>
      </w:r>
      <w:r w:rsidR="000A027D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 xml:space="preserve">million </w:t>
      </w:r>
      <w:r w:rsidR="00E23303">
        <w:rPr>
          <w:rFonts w:ascii="Garamond" w:hAnsi="Garamond" w:cs="Calibri"/>
        </w:rPr>
        <w:t xml:space="preserve">in </w:t>
      </w:r>
      <w:r w:rsidR="00360C71">
        <w:rPr>
          <w:rFonts w:ascii="Garamond" w:hAnsi="Garamond" w:cs="Calibri"/>
        </w:rPr>
        <w:t xml:space="preserve">over-collection recorded in the </w:t>
      </w:r>
      <w:r w:rsidR="000A027D">
        <w:rPr>
          <w:rFonts w:ascii="Garamond" w:hAnsi="Garamond" w:cs="Calibri"/>
        </w:rPr>
        <w:t>202</w:t>
      </w:r>
      <w:r w:rsidR="00FA0868">
        <w:rPr>
          <w:rFonts w:ascii="Garamond" w:hAnsi="Garamond" w:cs="Calibri"/>
        </w:rPr>
        <w:t>1</w:t>
      </w:r>
      <w:r w:rsidR="000A027D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>Pension Balancing Account.</w:t>
      </w:r>
    </w:p>
    <w:p w14:paraId="1F5432CE" w14:textId="77777777" w:rsidR="00332FF5" w:rsidRPr="00310A0A" w:rsidRDefault="00332FF5" w:rsidP="00367076">
      <w:pPr>
        <w:pStyle w:val="ListParagraph"/>
        <w:spacing w:before="120"/>
        <w:ind w:left="1800" w:firstLine="0"/>
        <w:rPr>
          <w:rFonts w:ascii="Garamond" w:hAnsi="Garamond" w:cs="Calibri"/>
        </w:rPr>
      </w:pPr>
    </w:p>
    <w:sectPr w:rsidR="00332FF5" w:rsidRPr="00310A0A" w:rsidSect="005179C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2CF4" w14:textId="77777777" w:rsidR="004F035E" w:rsidRDefault="004F035E">
      <w:r>
        <w:separator/>
      </w:r>
    </w:p>
    <w:p w14:paraId="294A3B19" w14:textId="77777777" w:rsidR="004F035E" w:rsidRDefault="004F035E"/>
  </w:endnote>
  <w:endnote w:type="continuationSeparator" w:id="0">
    <w:p w14:paraId="226B53C2" w14:textId="77777777" w:rsidR="004F035E" w:rsidRDefault="004F035E">
      <w:r>
        <w:continuationSeparator/>
      </w:r>
    </w:p>
    <w:p w14:paraId="0A78EE9B" w14:textId="77777777" w:rsidR="004F035E" w:rsidRDefault="004F0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Content>
      <w:p w14:paraId="2C142258" w14:textId="77777777" w:rsidR="00A42FDB" w:rsidRDefault="00000000" w:rsidP="00AA5D1C">
        <w:pPr>
          <w:pStyle w:val="Footer"/>
          <w:rPr>
            <w:rStyle w:val="PageNumber"/>
          </w:rPr>
        </w:pPr>
      </w:p>
    </w:sdtContent>
  </w:sdt>
  <w:p w14:paraId="1B76562C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A754C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="008C068D">
          <w:rPr>
            <w:rFonts w:ascii="Garamond" w:hAnsi="Garamond"/>
            <w:noProof/>
          </w:rPr>
          <w:t>2</w:t>
        </w:r>
      </w:p>
    </w:sdtContent>
  </w:sdt>
  <w:p w14:paraId="7CD2E1BC" w14:textId="77777777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Content>
      <w:p w14:paraId="26BF7BAC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="00552B0C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</w:rPr>
          <w:t xml:space="preserve"> </w:t>
        </w:r>
      </w:p>
    </w:sdtContent>
  </w:sdt>
  <w:p w14:paraId="1AF838B3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19EC" w14:textId="77777777" w:rsidR="004F035E" w:rsidRDefault="004F035E">
      <w:r>
        <w:separator/>
      </w:r>
    </w:p>
    <w:p w14:paraId="490450B2" w14:textId="77777777" w:rsidR="004F035E" w:rsidRDefault="004F035E"/>
  </w:footnote>
  <w:footnote w:type="continuationSeparator" w:id="0">
    <w:p w14:paraId="088AF348" w14:textId="77777777" w:rsidR="004F035E" w:rsidRDefault="004F035E">
      <w:r>
        <w:continuationSeparator/>
      </w:r>
    </w:p>
    <w:p w14:paraId="55A3CD9F" w14:textId="77777777" w:rsidR="004F035E" w:rsidRDefault="004F035E"/>
  </w:footnote>
  <w:footnote w:id="1">
    <w:p w14:paraId="18CB4D71" w14:textId="77777777" w:rsidR="001761B5" w:rsidRPr="001761B5" w:rsidRDefault="001761B5" w:rsidP="001761B5">
      <w:pPr>
        <w:pStyle w:val="FootnoteText"/>
        <w:ind w:firstLine="0"/>
        <w:rPr>
          <w:rFonts w:ascii="Garamond" w:hAnsi="Garamond"/>
          <w:sz w:val="21"/>
          <w:szCs w:val="21"/>
        </w:rPr>
      </w:pPr>
      <w:r w:rsidRPr="00A03171">
        <w:rPr>
          <w:rStyle w:val="FootnoteReference"/>
          <w:rFonts w:ascii="Garamond" w:hAnsi="Garamond"/>
          <w:b/>
          <w:bCs/>
          <w:sz w:val="21"/>
          <w:szCs w:val="21"/>
        </w:rPr>
        <w:footnoteRef/>
      </w:r>
      <w:r w:rsidRPr="001761B5">
        <w:rPr>
          <w:rFonts w:ascii="Garamond" w:hAnsi="Garamond"/>
          <w:sz w:val="21"/>
          <w:szCs w:val="21"/>
        </w:rPr>
        <w:t xml:space="preserve"> In D.19-05-044, the CPUC authorized Golden State to allocate to BVES expenses incurred in the operation of the General Office, Common Plant Costs, and employee pension and benefit costs.</w:t>
      </w:r>
    </w:p>
  </w:footnote>
  <w:footnote w:id="2">
    <w:p w14:paraId="4A6698AE" w14:textId="77777777" w:rsidR="001761B5" w:rsidRPr="001761B5" w:rsidRDefault="001761B5" w:rsidP="001761B5">
      <w:pPr>
        <w:pStyle w:val="FootnoteText"/>
        <w:ind w:firstLine="0"/>
        <w:rPr>
          <w:rFonts w:ascii="Garamond" w:hAnsi="Garamond"/>
          <w:sz w:val="21"/>
          <w:szCs w:val="21"/>
        </w:rPr>
      </w:pPr>
      <w:r w:rsidRPr="00A03171">
        <w:rPr>
          <w:rStyle w:val="FootnoteReference"/>
          <w:rFonts w:ascii="Garamond" w:hAnsi="Garamond"/>
          <w:b/>
          <w:bCs/>
          <w:sz w:val="21"/>
          <w:szCs w:val="21"/>
        </w:rPr>
        <w:footnoteRef/>
      </w:r>
      <w:r w:rsidRPr="001761B5">
        <w:rPr>
          <w:rFonts w:ascii="Garamond" w:hAnsi="Garamond"/>
          <w:sz w:val="21"/>
          <w:szCs w:val="21"/>
        </w:rPr>
        <w:t xml:space="preserve"> Based on a “typical” residential customer using, on average, 350 kilowatt-hours per month.</w:t>
      </w:r>
    </w:p>
  </w:footnote>
  <w:footnote w:id="3">
    <w:p w14:paraId="5CFC20A1" w14:textId="10E30400" w:rsidR="001761B5" w:rsidRPr="001761B5" w:rsidRDefault="001761B5" w:rsidP="001761B5">
      <w:pPr>
        <w:pStyle w:val="FootnoteText"/>
        <w:ind w:firstLine="0"/>
        <w:rPr>
          <w:rFonts w:ascii="Garamond" w:hAnsi="Garamond"/>
          <w:sz w:val="21"/>
          <w:szCs w:val="21"/>
        </w:rPr>
      </w:pPr>
      <w:r w:rsidRPr="00A03171">
        <w:rPr>
          <w:rStyle w:val="FootnoteReference"/>
          <w:rFonts w:ascii="Garamond" w:hAnsi="Garamond"/>
          <w:b/>
          <w:bCs/>
          <w:sz w:val="21"/>
          <w:szCs w:val="21"/>
        </w:rPr>
        <w:footnoteRef/>
      </w:r>
      <w:r w:rsidRPr="001761B5">
        <w:rPr>
          <w:rFonts w:ascii="Garamond" w:hAnsi="Garamond"/>
          <w:sz w:val="21"/>
          <w:szCs w:val="21"/>
        </w:rPr>
        <w:t xml:space="preserve"> BVES’ current rates through June 29, </w:t>
      </w:r>
      <w:proofErr w:type="gramStart"/>
      <w:r w:rsidRPr="001761B5">
        <w:rPr>
          <w:rFonts w:ascii="Garamond" w:hAnsi="Garamond"/>
          <w:sz w:val="21"/>
          <w:szCs w:val="21"/>
        </w:rPr>
        <w:t>202</w:t>
      </w:r>
      <w:r w:rsidR="001E442E">
        <w:rPr>
          <w:rFonts w:ascii="Garamond" w:hAnsi="Garamond"/>
          <w:sz w:val="21"/>
          <w:szCs w:val="21"/>
        </w:rPr>
        <w:t>2</w:t>
      </w:r>
      <w:proofErr w:type="gramEnd"/>
      <w:r w:rsidRPr="001761B5">
        <w:rPr>
          <w:rFonts w:ascii="Garamond" w:hAnsi="Garamond"/>
          <w:sz w:val="21"/>
          <w:szCs w:val="21"/>
        </w:rPr>
        <w:t xml:space="preserve"> are based on the $</w:t>
      </w:r>
      <w:r w:rsidR="001E442E">
        <w:rPr>
          <w:rFonts w:ascii="Garamond" w:hAnsi="Garamond"/>
          <w:sz w:val="21"/>
          <w:szCs w:val="21"/>
        </w:rPr>
        <w:t>0.681</w:t>
      </w:r>
      <w:r w:rsidR="00FA0868">
        <w:rPr>
          <w:rFonts w:ascii="Garamond" w:hAnsi="Garamond"/>
          <w:sz w:val="21"/>
          <w:szCs w:val="21"/>
        </w:rPr>
        <w:t xml:space="preserve"> </w:t>
      </w:r>
      <w:r w:rsidRPr="001761B5">
        <w:rPr>
          <w:rFonts w:ascii="Garamond" w:hAnsi="Garamond"/>
          <w:sz w:val="21"/>
          <w:szCs w:val="21"/>
        </w:rPr>
        <w:t xml:space="preserve">million under-collected balance approved in AL </w:t>
      </w:r>
      <w:r w:rsidR="001E442E">
        <w:rPr>
          <w:rFonts w:ascii="Garamond" w:hAnsi="Garamond"/>
          <w:sz w:val="21"/>
          <w:szCs w:val="21"/>
        </w:rPr>
        <w:t>422</w:t>
      </w:r>
      <w:r w:rsidRPr="001761B5">
        <w:rPr>
          <w:rFonts w:ascii="Garamond" w:hAnsi="Garamond"/>
          <w:sz w:val="21"/>
          <w:szCs w:val="21"/>
        </w:rPr>
        <w:t>-E</w:t>
      </w:r>
      <w:r w:rsidR="00A03171">
        <w:rPr>
          <w:rFonts w:ascii="Garamond" w:hAnsi="Garamond"/>
          <w:sz w:val="21"/>
          <w:szCs w:val="21"/>
        </w:rPr>
        <w:t>,</w:t>
      </w:r>
      <w:r w:rsidRPr="001761B5">
        <w:rPr>
          <w:rFonts w:ascii="Garamond" w:hAnsi="Garamond"/>
          <w:sz w:val="21"/>
          <w:szCs w:val="21"/>
        </w:rPr>
        <w:t xml:space="preserve"> whereas the new rates effective June 3</w:t>
      </w:r>
      <w:r w:rsidR="00FA0868">
        <w:rPr>
          <w:rFonts w:ascii="Garamond" w:hAnsi="Garamond"/>
          <w:sz w:val="21"/>
          <w:szCs w:val="21"/>
        </w:rPr>
        <w:t>0</w:t>
      </w:r>
      <w:r w:rsidRPr="001761B5">
        <w:rPr>
          <w:rFonts w:ascii="Garamond" w:hAnsi="Garamond"/>
          <w:sz w:val="21"/>
          <w:szCs w:val="21"/>
        </w:rPr>
        <w:t>, 202</w:t>
      </w:r>
      <w:r w:rsidR="001E442E">
        <w:rPr>
          <w:rFonts w:ascii="Garamond" w:hAnsi="Garamond"/>
          <w:sz w:val="21"/>
          <w:szCs w:val="21"/>
        </w:rPr>
        <w:t xml:space="preserve">2 </w:t>
      </w:r>
      <w:r w:rsidRPr="001761B5">
        <w:rPr>
          <w:rFonts w:ascii="Garamond" w:hAnsi="Garamond"/>
          <w:sz w:val="21"/>
          <w:szCs w:val="21"/>
        </w:rPr>
        <w:t>are based on the $0.</w:t>
      </w:r>
      <w:r w:rsidR="001E442E">
        <w:rPr>
          <w:rFonts w:ascii="Garamond" w:hAnsi="Garamond"/>
          <w:sz w:val="21"/>
          <w:szCs w:val="21"/>
        </w:rPr>
        <w:t>632</w:t>
      </w:r>
      <w:r w:rsidR="001E442E" w:rsidRPr="001761B5">
        <w:rPr>
          <w:rFonts w:ascii="Garamond" w:hAnsi="Garamond"/>
          <w:sz w:val="21"/>
          <w:szCs w:val="21"/>
        </w:rPr>
        <w:t xml:space="preserve"> </w:t>
      </w:r>
      <w:r w:rsidRPr="001761B5">
        <w:rPr>
          <w:rFonts w:ascii="Garamond" w:hAnsi="Garamond"/>
          <w:sz w:val="21"/>
          <w:szCs w:val="21"/>
        </w:rPr>
        <w:t>million under-collected balance approved in AL 4</w:t>
      </w:r>
      <w:r w:rsidR="001E442E">
        <w:rPr>
          <w:rFonts w:ascii="Garamond" w:hAnsi="Garamond"/>
          <w:sz w:val="21"/>
          <w:szCs w:val="21"/>
        </w:rPr>
        <w:t>43</w:t>
      </w:r>
      <w:r w:rsidRPr="001761B5">
        <w:rPr>
          <w:rFonts w:ascii="Garamond" w:hAnsi="Garamond"/>
          <w:sz w:val="21"/>
          <w:szCs w:val="21"/>
        </w:rPr>
        <w:t>-E.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64630374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6FA98CB9" w14:textId="77777777"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BC713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April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14:paraId="56888D9E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4FADBC57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571F3C8E" w14:textId="77777777"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3C6202FC" wp14:editId="17196507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5885A3F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26B27199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2840CEBF" w14:textId="447DFB41" w:rsidR="00A42FDB" w:rsidRPr="002C361D" w:rsidRDefault="00A42FDB" w:rsidP="00B9638F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834443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June 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202</w:t>
          </w:r>
          <w:r w:rsidR="00472E2E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2</w:t>
          </w:r>
        </w:p>
      </w:tc>
      <w:tc>
        <w:tcPr>
          <w:tcW w:w="6151" w:type="dxa"/>
          <w:shd w:val="clear" w:color="auto" w:fill="002060"/>
          <w:vAlign w:val="center"/>
        </w:tcPr>
        <w:p w14:paraId="59483B38" w14:textId="77777777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4314B846" w14:textId="77777777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0CEE229C" w14:textId="77777777"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44456B19" wp14:editId="28D740E4">
                <wp:simplePos x="0" y="0"/>
                <wp:positionH relativeFrom="column">
                  <wp:posOffset>562610</wp:posOffset>
                </wp:positionH>
                <wp:positionV relativeFrom="paragraph">
                  <wp:posOffset>81915</wp:posOffset>
                </wp:positionV>
                <wp:extent cx="518795" cy="943610"/>
                <wp:effectExtent l="0" t="0" r="0" b="8890"/>
                <wp:wrapTight wrapText="bothSides">
                  <wp:wrapPolygon edited="0">
                    <wp:start x="4759" y="0"/>
                    <wp:lineTo x="0" y="2180"/>
                    <wp:lineTo x="0" y="8285"/>
                    <wp:lineTo x="2379" y="13954"/>
                    <wp:lineTo x="5552" y="20931"/>
                    <wp:lineTo x="6345" y="21367"/>
                    <wp:lineTo x="13483" y="21367"/>
                    <wp:lineTo x="15070" y="20931"/>
                    <wp:lineTo x="17449" y="15699"/>
                    <wp:lineTo x="17449" y="13954"/>
                    <wp:lineTo x="20622" y="8285"/>
                    <wp:lineTo x="20622" y="2180"/>
                    <wp:lineTo x="15863" y="0"/>
                    <wp:lineTo x="4759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6BCB388" w14:textId="77777777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735AE"/>
    <w:multiLevelType w:val="hybridMultilevel"/>
    <w:tmpl w:val="00DAE9A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2540963">
    <w:abstractNumId w:val="0"/>
  </w:num>
  <w:num w:numId="2" w16cid:durableId="822158358">
    <w:abstractNumId w:val="10"/>
  </w:num>
  <w:num w:numId="3" w16cid:durableId="136462261">
    <w:abstractNumId w:val="8"/>
  </w:num>
  <w:num w:numId="4" w16cid:durableId="902134374">
    <w:abstractNumId w:val="17"/>
  </w:num>
  <w:num w:numId="5" w16cid:durableId="1882746625">
    <w:abstractNumId w:val="2"/>
  </w:num>
  <w:num w:numId="6" w16cid:durableId="1689331922">
    <w:abstractNumId w:val="15"/>
  </w:num>
  <w:num w:numId="7" w16cid:durableId="1308168886">
    <w:abstractNumId w:val="4"/>
  </w:num>
  <w:num w:numId="8" w16cid:durableId="1797259685">
    <w:abstractNumId w:val="6"/>
  </w:num>
  <w:num w:numId="9" w16cid:durableId="1965188405">
    <w:abstractNumId w:val="5"/>
  </w:num>
  <w:num w:numId="10" w16cid:durableId="615795225">
    <w:abstractNumId w:val="13"/>
  </w:num>
  <w:num w:numId="11" w16cid:durableId="1820342788">
    <w:abstractNumId w:val="9"/>
  </w:num>
  <w:num w:numId="12" w16cid:durableId="1385836343">
    <w:abstractNumId w:val="14"/>
  </w:num>
  <w:num w:numId="13" w16cid:durableId="1503818075">
    <w:abstractNumId w:val="3"/>
  </w:num>
  <w:num w:numId="14" w16cid:durableId="1868173559">
    <w:abstractNumId w:val="12"/>
  </w:num>
  <w:num w:numId="15" w16cid:durableId="747460420">
    <w:abstractNumId w:val="1"/>
  </w:num>
  <w:num w:numId="16" w16cid:durableId="164248650">
    <w:abstractNumId w:val="7"/>
  </w:num>
  <w:num w:numId="17" w16cid:durableId="685182268">
    <w:abstractNumId w:val="16"/>
  </w:num>
  <w:num w:numId="18" w16cid:durableId="4759513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5"/>
    <w:rsid w:val="00004E2F"/>
    <w:rsid w:val="000069E1"/>
    <w:rsid w:val="0001124C"/>
    <w:rsid w:val="000115F0"/>
    <w:rsid w:val="00017089"/>
    <w:rsid w:val="00020B4A"/>
    <w:rsid w:val="00023054"/>
    <w:rsid w:val="00024CF2"/>
    <w:rsid w:val="00025EEC"/>
    <w:rsid w:val="00026B38"/>
    <w:rsid w:val="00027796"/>
    <w:rsid w:val="00027DF1"/>
    <w:rsid w:val="00031903"/>
    <w:rsid w:val="0003222D"/>
    <w:rsid w:val="00034FD9"/>
    <w:rsid w:val="00041AA7"/>
    <w:rsid w:val="00044843"/>
    <w:rsid w:val="00045CDD"/>
    <w:rsid w:val="0006665E"/>
    <w:rsid w:val="0007148B"/>
    <w:rsid w:val="000727BA"/>
    <w:rsid w:val="00082BD3"/>
    <w:rsid w:val="0008589E"/>
    <w:rsid w:val="000A027D"/>
    <w:rsid w:val="000A298C"/>
    <w:rsid w:val="000A37E9"/>
    <w:rsid w:val="000A3D60"/>
    <w:rsid w:val="000A58EF"/>
    <w:rsid w:val="000A69C2"/>
    <w:rsid w:val="000C4126"/>
    <w:rsid w:val="000D17D3"/>
    <w:rsid w:val="000D6E0B"/>
    <w:rsid w:val="000E3D03"/>
    <w:rsid w:val="00111740"/>
    <w:rsid w:val="001227B5"/>
    <w:rsid w:val="00130972"/>
    <w:rsid w:val="0013200C"/>
    <w:rsid w:val="00152406"/>
    <w:rsid w:val="00154274"/>
    <w:rsid w:val="0016174A"/>
    <w:rsid w:val="00165273"/>
    <w:rsid w:val="001742DA"/>
    <w:rsid w:val="00174B45"/>
    <w:rsid w:val="001761B5"/>
    <w:rsid w:val="00181170"/>
    <w:rsid w:val="001923C3"/>
    <w:rsid w:val="00197C00"/>
    <w:rsid w:val="001A52CF"/>
    <w:rsid w:val="001B4EB1"/>
    <w:rsid w:val="001B6393"/>
    <w:rsid w:val="001C3D62"/>
    <w:rsid w:val="001D291E"/>
    <w:rsid w:val="001D6674"/>
    <w:rsid w:val="001E442E"/>
    <w:rsid w:val="002027EB"/>
    <w:rsid w:val="002060D7"/>
    <w:rsid w:val="00210772"/>
    <w:rsid w:val="00211A70"/>
    <w:rsid w:val="00216078"/>
    <w:rsid w:val="002164F7"/>
    <w:rsid w:val="00223BF4"/>
    <w:rsid w:val="00225BA9"/>
    <w:rsid w:val="0022639A"/>
    <w:rsid w:val="0024182E"/>
    <w:rsid w:val="00244F7D"/>
    <w:rsid w:val="00247273"/>
    <w:rsid w:val="00247CD5"/>
    <w:rsid w:val="00247F2E"/>
    <w:rsid w:val="00250C3A"/>
    <w:rsid w:val="00255C41"/>
    <w:rsid w:val="002604B0"/>
    <w:rsid w:val="00264F19"/>
    <w:rsid w:val="0027768E"/>
    <w:rsid w:val="002826A9"/>
    <w:rsid w:val="0029088B"/>
    <w:rsid w:val="002A2068"/>
    <w:rsid w:val="002A2DE6"/>
    <w:rsid w:val="002A41E4"/>
    <w:rsid w:val="002A770B"/>
    <w:rsid w:val="002B13B6"/>
    <w:rsid w:val="002B32F2"/>
    <w:rsid w:val="002C361D"/>
    <w:rsid w:val="002C4428"/>
    <w:rsid w:val="002D55E3"/>
    <w:rsid w:val="00310A0A"/>
    <w:rsid w:val="00313C67"/>
    <w:rsid w:val="003148B3"/>
    <w:rsid w:val="0032676E"/>
    <w:rsid w:val="0032777C"/>
    <w:rsid w:val="00332FF5"/>
    <w:rsid w:val="003373DE"/>
    <w:rsid w:val="0035260C"/>
    <w:rsid w:val="00354A4E"/>
    <w:rsid w:val="0036029F"/>
    <w:rsid w:val="00360C71"/>
    <w:rsid w:val="00367076"/>
    <w:rsid w:val="00375A37"/>
    <w:rsid w:val="00383440"/>
    <w:rsid w:val="003A5EDF"/>
    <w:rsid w:val="003B1368"/>
    <w:rsid w:val="003B60EF"/>
    <w:rsid w:val="003D257E"/>
    <w:rsid w:val="003D265D"/>
    <w:rsid w:val="003D72D0"/>
    <w:rsid w:val="003E1C2B"/>
    <w:rsid w:val="003E2336"/>
    <w:rsid w:val="003E2AB6"/>
    <w:rsid w:val="003E463B"/>
    <w:rsid w:val="003E6280"/>
    <w:rsid w:val="003F1F30"/>
    <w:rsid w:val="003F497F"/>
    <w:rsid w:val="003F4AE4"/>
    <w:rsid w:val="003F4B32"/>
    <w:rsid w:val="0040086D"/>
    <w:rsid w:val="004041BA"/>
    <w:rsid w:val="004109D4"/>
    <w:rsid w:val="00420AE1"/>
    <w:rsid w:val="00421E5E"/>
    <w:rsid w:val="004308B1"/>
    <w:rsid w:val="00433148"/>
    <w:rsid w:val="004430A4"/>
    <w:rsid w:val="004576EC"/>
    <w:rsid w:val="004642EC"/>
    <w:rsid w:val="0046613F"/>
    <w:rsid w:val="00467C49"/>
    <w:rsid w:val="0047071F"/>
    <w:rsid w:val="00472E2E"/>
    <w:rsid w:val="00474F83"/>
    <w:rsid w:val="00475A0A"/>
    <w:rsid w:val="00487649"/>
    <w:rsid w:val="00487DDA"/>
    <w:rsid w:val="0049248B"/>
    <w:rsid w:val="00493E52"/>
    <w:rsid w:val="004941D2"/>
    <w:rsid w:val="00497EB9"/>
    <w:rsid w:val="004A2C07"/>
    <w:rsid w:val="004A7E44"/>
    <w:rsid w:val="004B0515"/>
    <w:rsid w:val="004C15F3"/>
    <w:rsid w:val="004E0384"/>
    <w:rsid w:val="004E53E5"/>
    <w:rsid w:val="004F035E"/>
    <w:rsid w:val="004F0FB0"/>
    <w:rsid w:val="004F467C"/>
    <w:rsid w:val="004F7B2B"/>
    <w:rsid w:val="005009A9"/>
    <w:rsid w:val="00506C17"/>
    <w:rsid w:val="0051222C"/>
    <w:rsid w:val="00512B1B"/>
    <w:rsid w:val="00513835"/>
    <w:rsid w:val="005179CC"/>
    <w:rsid w:val="00530D7C"/>
    <w:rsid w:val="00531FB3"/>
    <w:rsid w:val="0053241B"/>
    <w:rsid w:val="00532961"/>
    <w:rsid w:val="00532EA7"/>
    <w:rsid w:val="005363FD"/>
    <w:rsid w:val="005372D9"/>
    <w:rsid w:val="005425FC"/>
    <w:rsid w:val="0054359F"/>
    <w:rsid w:val="00546A7D"/>
    <w:rsid w:val="00550E69"/>
    <w:rsid w:val="005517C6"/>
    <w:rsid w:val="00552B0C"/>
    <w:rsid w:val="00567FFB"/>
    <w:rsid w:val="00571C5D"/>
    <w:rsid w:val="00575FEF"/>
    <w:rsid w:val="0058108F"/>
    <w:rsid w:val="00583A04"/>
    <w:rsid w:val="00590D03"/>
    <w:rsid w:val="005A0533"/>
    <w:rsid w:val="005A3953"/>
    <w:rsid w:val="005C1999"/>
    <w:rsid w:val="005C4EC3"/>
    <w:rsid w:val="005D13A8"/>
    <w:rsid w:val="005D2EAB"/>
    <w:rsid w:val="005E30B1"/>
    <w:rsid w:val="005E4368"/>
    <w:rsid w:val="005F4F7C"/>
    <w:rsid w:val="0061629D"/>
    <w:rsid w:val="0062525B"/>
    <w:rsid w:val="00630580"/>
    <w:rsid w:val="00640B0E"/>
    <w:rsid w:val="006431EF"/>
    <w:rsid w:val="00645B76"/>
    <w:rsid w:val="006465FE"/>
    <w:rsid w:val="00661780"/>
    <w:rsid w:val="00664C8E"/>
    <w:rsid w:val="00670772"/>
    <w:rsid w:val="006720B2"/>
    <w:rsid w:val="0067331F"/>
    <w:rsid w:val="006747CF"/>
    <w:rsid w:val="00674A43"/>
    <w:rsid w:val="00680A0B"/>
    <w:rsid w:val="00680B26"/>
    <w:rsid w:val="00682BFD"/>
    <w:rsid w:val="00693FCB"/>
    <w:rsid w:val="006A05D6"/>
    <w:rsid w:val="006B3518"/>
    <w:rsid w:val="006B3EC8"/>
    <w:rsid w:val="006B7F07"/>
    <w:rsid w:val="006D35C0"/>
    <w:rsid w:val="006D4605"/>
    <w:rsid w:val="006D5A7C"/>
    <w:rsid w:val="006D7FBD"/>
    <w:rsid w:val="006F186F"/>
    <w:rsid w:val="006F4F92"/>
    <w:rsid w:val="00704D6C"/>
    <w:rsid w:val="00714B95"/>
    <w:rsid w:val="00714BC6"/>
    <w:rsid w:val="00715E59"/>
    <w:rsid w:val="007337FB"/>
    <w:rsid w:val="007340C3"/>
    <w:rsid w:val="007350FA"/>
    <w:rsid w:val="0073542E"/>
    <w:rsid w:val="00736959"/>
    <w:rsid w:val="00740A58"/>
    <w:rsid w:val="00747A77"/>
    <w:rsid w:val="00750033"/>
    <w:rsid w:val="007501A3"/>
    <w:rsid w:val="0075685A"/>
    <w:rsid w:val="00763A5D"/>
    <w:rsid w:val="00764CCE"/>
    <w:rsid w:val="00767D5C"/>
    <w:rsid w:val="00770686"/>
    <w:rsid w:val="00774E68"/>
    <w:rsid w:val="0077538E"/>
    <w:rsid w:val="007821A8"/>
    <w:rsid w:val="00785260"/>
    <w:rsid w:val="007875CA"/>
    <w:rsid w:val="0079582D"/>
    <w:rsid w:val="007A4959"/>
    <w:rsid w:val="007B22E5"/>
    <w:rsid w:val="007B5F72"/>
    <w:rsid w:val="007B6E1C"/>
    <w:rsid w:val="007C0FA4"/>
    <w:rsid w:val="007C6D6F"/>
    <w:rsid w:val="007D4A9C"/>
    <w:rsid w:val="007E53BD"/>
    <w:rsid w:val="007F4948"/>
    <w:rsid w:val="007F6FCF"/>
    <w:rsid w:val="007F735D"/>
    <w:rsid w:val="008028BD"/>
    <w:rsid w:val="00804A0B"/>
    <w:rsid w:val="00805C23"/>
    <w:rsid w:val="00821BC9"/>
    <w:rsid w:val="0082532E"/>
    <w:rsid w:val="00826202"/>
    <w:rsid w:val="0083188F"/>
    <w:rsid w:val="00834443"/>
    <w:rsid w:val="0085067B"/>
    <w:rsid w:val="00851B27"/>
    <w:rsid w:val="00851DBB"/>
    <w:rsid w:val="0085798A"/>
    <w:rsid w:val="00860A36"/>
    <w:rsid w:val="008611D6"/>
    <w:rsid w:val="008666A0"/>
    <w:rsid w:val="00876F9F"/>
    <w:rsid w:val="0087708C"/>
    <w:rsid w:val="00884C62"/>
    <w:rsid w:val="0089340B"/>
    <w:rsid w:val="00894283"/>
    <w:rsid w:val="008A19CA"/>
    <w:rsid w:val="008B4F7C"/>
    <w:rsid w:val="008B4FB2"/>
    <w:rsid w:val="008B545E"/>
    <w:rsid w:val="008C068D"/>
    <w:rsid w:val="008F0EAE"/>
    <w:rsid w:val="008F3C57"/>
    <w:rsid w:val="009028CF"/>
    <w:rsid w:val="00904E32"/>
    <w:rsid w:val="00904F9A"/>
    <w:rsid w:val="00906436"/>
    <w:rsid w:val="00906D2F"/>
    <w:rsid w:val="0091796E"/>
    <w:rsid w:val="00923392"/>
    <w:rsid w:val="00960614"/>
    <w:rsid w:val="00962953"/>
    <w:rsid w:val="00983DE9"/>
    <w:rsid w:val="009853D3"/>
    <w:rsid w:val="00990645"/>
    <w:rsid w:val="009917BB"/>
    <w:rsid w:val="009964E9"/>
    <w:rsid w:val="0099734E"/>
    <w:rsid w:val="00997619"/>
    <w:rsid w:val="009A4345"/>
    <w:rsid w:val="009A5A01"/>
    <w:rsid w:val="009B13C0"/>
    <w:rsid w:val="009B28BF"/>
    <w:rsid w:val="009B6C87"/>
    <w:rsid w:val="009C08EA"/>
    <w:rsid w:val="009C1F06"/>
    <w:rsid w:val="009C413D"/>
    <w:rsid w:val="009C489E"/>
    <w:rsid w:val="009C64BF"/>
    <w:rsid w:val="009E104A"/>
    <w:rsid w:val="009E36EE"/>
    <w:rsid w:val="009F2F79"/>
    <w:rsid w:val="009F37FD"/>
    <w:rsid w:val="00A03171"/>
    <w:rsid w:val="00A04EDD"/>
    <w:rsid w:val="00A100CA"/>
    <w:rsid w:val="00A12A44"/>
    <w:rsid w:val="00A14F8E"/>
    <w:rsid w:val="00A21707"/>
    <w:rsid w:val="00A22D9A"/>
    <w:rsid w:val="00A24FB2"/>
    <w:rsid w:val="00A31DB8"/>
    <w:rsid w:val="00A42FDB"/>
    <w:rsid w:val="00A46DC2"/>
    <w:rsid w:val="00A47930"/>
    <w:rsid w:val="00A54A53"/>
    <w:rsid w:val="00A565BE"/>
    <w:rsid w:val="00A56964"/>
    <w:rsid w:val="00A64D52"/>
    <w:rsid w:val="00A64E58"/>
    <w:rsid w:val="00A83510"/>
    <w:rsid w:val="00A86289"/>
    <w:rsid w:val="00A9325D"/>
    <w:rsid w:val="00A9594E"/>
    <w:rsid w:val="00AA1472"/>
    <w:rsid w:val="00AA256A"/>
    <w:rsid w:val="00AA279D"/>
    <w:rsid w:val="00AA5D1C"/>
    <w:rsid w:val="00AC5C9F"/>
    <w:rsid w:val="00AC796F"/>
    <w:rsid w:val="00AD2B02"/>
    <w:rsid w:val="00AD5628"/>
    <w:rsid w:val="00AE5D54"/>
    <w:rsid w:val="00AF08F7"/>
    <w:rsid w:val="00AF0AD6"/>
    <w:rsid w:val="00AF7013"/>
    <w:rsid w:val="00B12BBD"/>
    <w:rsid w:val="00B177DF"/>
    <w:rsid w:val="00B2335F"/>
    <w:rsid w:val="00B30AA1"/>
    <w:rsid w:val="00B43F4E"/>
    <w:rsid w:val="00B67CC1"/>
    <w:rsid w:val="00B72448"/>
    <w:rsid w:val="00B77B78"/>
    <w:rsid w:val="00B8732B"/>
    <w:rsid w:val="00B90CB9"/>
    <w:rsid w:val="00B9638F"/>
    <w:rsid w:val="00BA01D2"/>
    <w:rsid w:val="00BA1AE6"/>
    <w:rsid w:val="00BB3903"/>
    <w:rsid w:val="00BC4284"/>
    <w:rsid w:val="00BC591F"/>
    <w:rsid w:val="00BC713D"/>
    <w:rsid w:val="00BD1059"/>
    <w:rsid w:val="00BD2851"/>
    <w:rsid w:val="00BE17F2"/>
    <w:rsid w:val="00BE342A"/>
    <w:rsid w:val="00BF3D55"/>
    <w:rsid w:val="00BF53B3"/>
    <w:rsid w:val="00BF5B47"/>
    <w:rsid w:val="00C011FD"/>
    <w:rsid w:val="00C21A02"/>
    <w:rsid w:val="00C3215A"/>
    <w:rsid w:val="00C459C9"/>
    <w:rsid w:val="00C47053"/>
    <w:rsid w:val="00C57542"/>
    <w:rsid w:val="00C63C9B"/>
    <w:rsid w:val="00C67186"/>
    <w:rsid w:val="00C72AE1"/>
    <w:rsid w:val="00C752CA"/>
    <w:rsid w:val="00C83FB0"/>
    <w:rsid w:val="00C84C80"/>
    <w:rsid w:val="00C85647"/>
    <w:rsid w:val="00C856A2"/>
    <w:rsid w:val="00C87F18"/>
    <w:rsid w:val="00C93620"/>
    <w:rsid w:val="00CA09CD"/>
    <w:rsid w:val="00CA2061"/>
    <w:rsid w:val="00CA384E"/>
    <w:rsid w:val="00CA65A7"/>
    <w:rsid w:val="00CA7021"/>
    <w:rsid w:val="00CB2349"/>
    <w:rsid w:val="00CB4F96"/>
    <w:rsid w:val="00CC0499"/>
    <w:rsid w:val="00CC4DBB"/>
    <w:rsid w:val="00CD3764"/>
    <w:rsid w:val="00CE1624"/>
    <w:rsid w:val="00CF044A"/>
    <w:rsid w:val="00CF4BB6"/>
    <w:rsid w:val="00CF74F0"/>
    <w:rsid w:val="00D00D38"/>
    <w:rsid w:val="00D01D0F"/>
    <w:rsid w:val="00D10B02"/>
    <w:rsid w:val="00D12D57"/>
    <w:rsid w:val="00D13742"/>
    <w:rsid w:val="00D26DE7"/>
    <w:rsid w:val="00D31094"/>
    <w:rsid w:val="00D410D3"/>
    <w:rsid w:val="00D431EC"/>
    <w:rsid w:val="00D44ED3"/>
    <w:rsid w:val="00D53687"/>
    <w:rsid w:val="00D636DC"/>
    <w:rsid w:val="00D6482E"/>
    <w:rsid w:val="00D64A9A"/>
    <w:rsid w:val="00D70F39"/>
    <w:rsid w:val="00D80425"/>
    <w:rsid w:val="00D83727"/>
    <w:rsid w:val="00D85AE4"/>
    <w:rsid w:val="00D915F8"/>
    <w:rsid w:val="00D96F26"/>
    <w:rsid w:val="00DA1AA5"/>
    <w:rsid w:val="00DA2F3D"/>
    <w:rsid w:val="00DB48E8"/>
    <w:rsid w:val="00DB7796"/>
    <w:rsid w:val="00DC5CC0"/>
    <w:rsid w:val="00DC7C3E"/>
    <w:rsid w:val="00DD0AA0"/>
    <w:rsid w:val="00DD23FA"/>
    <w:rsid w:val="00DD577D"/>
    <w:rsid w:val="00DD6DE6"/>
    <w:rsid w:val="00DE00A6"/>
    <w:rsid w:val="00DE6981"/>
    <w:rsid w:val="00E07248"/>
    <w:rsid w:val="00E121D8"/>
    <w:rsid w:val="00E15290"/>
    <w:rsid w:val="00E17ECA"/>
    <w:rsid w:val="00E21AC5"/>
    <w:rsid w:val="00E23303"/>
    <w:rsid w:val="00E27F02"/>
    <w:rsid w:val="00E30A95"/>
    <w:rsid w:val="00E3304B"/>
    <w:rsid w:val="00E33B56"/>
    <w:rsid w:val="00E36E8C"/>
    <w:rsid w:val="00E46AC1"/>
    <w:rsid w:val="00E53607"/>
    <w:rsid w:val="00E62EB2"/>
    <w:rsid w:val="00E64305"/>
    <w:rsid w:val="00E65AFE"/>
    <w:rsid w:val="00E73E99"/>
    <w:rsid w:val="00E74DCD"/>
    <w:rsid w:val="00E767CC"/>
    <w:rsid w:val="00E81868"/>
    <w:rsid w:val="00E9263E"/>
    <w:rsid w:val="00E930F4"/>
    <w:rsid w:val="00E97440"/>
    <w:rsid w:val="00E97705"/>
    <w:rsid w:val="00E97749"/>
    <w:rsid w:val="00EB108E"/>
    <w:rsid w:val="00EB2586"/>
    <w:rsid w:val="00EB68DB"/>
    <w:rsid w:val="00EB6CA7"/>
    <w:rsid w:val="00EC2501"/>
    <w:rsid w:val="00EC28A2"/>
    <w:rsid w:val="00EC301C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114D0"/>
    <w:rsid w:val="00F12819"/>
    <w:rsid w:val="00F22537"/>
    <w:rsid w:val="00F319C3"/>
    <w:rsid w:val="00F46AF3"/>
    <w:rsid w:val="00F4705B"/>
    <w:rsid w:val="00F47068"/>
    <w:rsid w:val="00F4739A"/>
    <w:rsid w:val="00F52A15"/>
    <w:rsid w:val="00F54152"/>
    <w:rsid w:val="00F622E1"/>
    <w:rsid w:val="00F64336"/>
    <w:rsid w:val="00F65E84"/>
    <w:rsid w:val="00F67D94"/>
    <w:rsid w:val="00F75DDC"/>
    <w:rsid w:val="00F75E58"/>
    <w:rsid w:val="00F7758E"/>
    <w:rsid w:val="00F77E05"/>
    <w:rsid w:val="00F83745"/>
    <w:rsid w:val="00F85BA0"/>
    <w:rsid w:val="00F97A4E"/>
    <w:rsid w:val="00FA0868"/>
    <w:rsid w:val="00FA5ED0"/>
    <w:rsid w:val="00FA7045"/>
    <w:rsid w:val="00FB198C"/>
    <w:rsid w:val="00FB2714"/>
    <w:rsid w:val="00FB3C87"/>
    <w:rsid w:val="00FC35CF"/>
    <w:rsid w:val="00FC5F60"/>
    <w:rsid w:val="00FD3A7D"/>
    <w:rsid w:val="00FD4D9F"/>
    <w:rsid w:val="00FD5AAD"/>
    <w:rsid w:val="00FE18AB"/>
    <w:rsid w:val="00FE1F46"/>
    <w:rsid w:val="00FE2136"/>
    <w:rsid w:val="00FE29B3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52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1761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61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61B5"/>
    <w:rPr>
      <w:vertAlign w:val="superscript"/>
    </w:rPr>
  </w:style>
  <w:style w:type="paragraph" w:styleId="Revision">
    <w:name w:val="Revision"/>
    <w:hidden/>
    <w:uiPriority w:val="99"/>
    <w:semiHidden/>
    <w:rsid w:val="00E7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4" ma:contentTypeDescription="Create a new document." ma:contentTypeScope="" ma:versionID="fc00334754aa581c0fa2dc47773fbe3b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cb5be191e1948dec1032c6544271cf2c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3E63FA-4465-41DA-8C46-465DABDC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728276-6BBE-4A89-ADF0-F705C63A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2022-06-22T23:21:00Z</dcterms:created>
  <dcterms:modified xsi:type="dcterms:W3CDTF">2022-08-25T21:21:00Z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