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FBAD" w14:textId="77777777" w:rsidR="00C20052" w:rsidRDefault="00484F85" w:rsidP="00C20052">
      <w:pPr>
        <w:ind w:firstLine="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bCs/>
          <w:color w:val="7030A0"/>
        </w:rPr>
        <w:t>Liberty</w:t>
      </w:r>
      <w:r w:rsidR="00B9638F" w:rsidRPr="00960036">
        <w:rPr>
          <w:rFonts w:ascii="Century Gothic" w:hAnsi="Century Gothic" w:cs="Calibri"/>
          <w:b/>
          <w:bCs/>
          <w:color w:val="7030A0"/>
        </w:rPr>
        <w:t xml:space="preserve"> </w:t>
      </w:r>
      <w:r w:rsidR="00805E6B">
        <w:rPr>
          <w:rFonts w:ascii="Century Gothic" w:hAnsi="Century Gothic" w:cs="Calibri"/>
          <w:b/>
          <w:bCs/>
          <w:color w:val="7030A0"/>
        </w:rPr>
        <w:t xml:space="preserve">Utilities </w:t>
      </w:r>
      <w:r w:rsidR="00421E5E" w:rsidRPr="00960036">
        <w:rPr>
          <w:rFonts w:ascii="Century Gothic" w:hAnsi="Century Gothic" w:cs="Calibri"/>
          <w:b/>
          <w:bCs/>
          <w:color w:val="7030A0"/>
        </w:rPr>
        <w:t>Advice Letter</w:t>
      </w:r>
      <w:r w:rsidR="000F4EBA">
        <w:rPr>
          <w:rFonts w:ascii="Century Gothic" w:hAnsi="Century Gothic" w:cs="Calibri"/>
          <w:b/>
          <w:bCs/>
          <w:color w:val="7030A0"/>
        </w:rPr>
        <w:t>s</w:t>
      </w:r>
      <w:r w:rsidR="00421E5E" w:rsidRPr="00960036">
        <w:rPr>
          <w:rFonts w:ascii="Century Gothic" w:hAnsi="Century Gothic" w:cs="Calibri"/>
          <w:b/>
          <w:bCs/>
          <w:color w:val="7030A0"/>
        </w:rPr>
        <w:t xml:space="preserve"> – </w:t>
      </w:r>
      <w:r w:rsidR="00805E6B" w:rsidRPr="00EF52AA">
        <w:rPr>
          <w:rFonts w:ascii="Century Gothic" w:hAnsi="Century Gothic" w:cs="Calibri"/>
        </w:rPr>
        <w:t xml:space="preserve">Liberty Utilities’ rates will change on </w:t>
      </w:r>
      <w:r w:rsidR="006C1794">
        <w:rPr>
          <w:rFonts w:ascii="Century Gothic" w:hAnsi="Century Gothic" w:cs="Calibri"/>
        </w:rPr>
        <w:t>April 1, 2021</w:t>
      </w:r>
      <w:r w:rsidR="00805E6B" w:rsidRPr="00EF52AA">
        <w:rPr>
          <w:rFonts w:ascii="Century Gothic" w:hAnsi="Century Gothic" w:cs="Calibri"/>
        </w:rPr>
        <w:t xml:space="preserve"> based on two advice letters the company filed in late 2020.</w:t>
      </w:r>
      <w:r w:rsidR="00805E6B" w:rsidRPr="00EF52AA">
        <w:rPr>
          <w:rFonts w:ascii="Century Gothic" w:hAnsi="Century Gothic" w:cs="Calibri"/>
          <w:b/>
          <w:bCs/>
        </w:rPr>
        <w:t xml:space="preserve"> </w:t>
      </w:r>
      <w:r w:rsidR="00805E6B" w:rsidRPr="00EF52AA">
        <w:rPr>
          <w:rFonts w:ascii="Century Gothic" w:hAnsi="Century Gothic" w:cs="Calibri"/>
        </w:rPr>
        <w:t xml:space="preserve"> </w:t>
      </w:r>
    </w:p>
    <w:p w14:paraId="4085F88F" w14:textId="77777777" w:rsidR="00C20052" w:rsidRDefault="00C20052" w:rsidP="00C20052">
      <w:pPr>
        <w:ind w:firstLine="0"/>
        <w:rPr>
          <w:rFonts w:ascii="Century Gothic" w:hAnsi="Century Gothic" w:cs="Calibri"/>
        </w:rPr>
      </w:pPr>
    </w:p>
    <w:p w14:paraId="00AA078B" w14:textId="2E298C3B" w:rsidR="00C20052" w:rsidRPr="00754CC6" w:rsidRDefault="00A65A2C" w:rsidP="00C20052">
      <w:pPr>
        <w:ind w:firstLine="0"/>
        <w:rPr>
          <w:rFonts w:ascii="Century Gothic" w:eastAsia="Times New Roman" w:hAnsi="Century Gothic" w:cs="Times New Roman"/>
        </w:rPr>
      </w:pPr>
      <w:r>
        <w:rPr>
          <w:rFonts w:ascii="Century Gothic" w:hAnsi="Century Gothic" w:cs="Calibri"/>
        </w:rPr>
        <w:t>The first</w:t>
      </w:r>
      <w:r w:rsidR="00805E6B">
        <w:rPr>
          <w:rFonts w:ascii="Century Gothic" w:hAnsi="Century Gothic" w:cs="Calibri"/>
        </w:rPr>
        <w:t xml:space="preserve"> advice letter implements </w:t>
      </w:r>
      <w:r w:rsidR="00EF52AA">
        <w:rPr>
          <w:rFonts w:ascii="Century Gothic" w:hAnsi="Century Gothic" w:cs="Calibri"/>
        </w:rPr>
        <w:t xml:space="preserve">an annual adjustment known as the </w:t>
      </w:r>
      <w:r w:rsidR="00805E6B">
        <w:rPr>
          <w:rFonts w:ascii="Century Gothic" w:hAnsi="Century Gothic" w:cs="Calibri"/>
        </w:rPr>
        <w:t xml:space="preserve">“Post-Test Year Adjustment Mechanism” (PTAM), which the CPUC established for Liberty Utilities in 2013.  </w:t>
      </w:r>
      <w:r w:rsidR="00484F85" w:rsidRPr="00484F85">
        <w:rPr>
          <w:rFonts w:ascii="Century Gothic" w:hAnsi="Century Gothic" w:cs="Calibri"/>
        </w:rPr>
        <w:t xml:space="preserve">The PTAM authorizes Liberty </w:t>
      </w:r>
      <w:r w:rsidR="00805E6B">
        <w:rPr>
          <w:rFonts w:ascii="Century Gothic" w:hAnsi="Century Gothic" w:cs="Calibri"/>
        </w:rPr>
        <w:t xml:space="preserve">Utilities </w:t>
      </w:r>
      <w:r w:rsidR="00484F85" w:rsidRPr="00484F85">
        <w:rPr>
          <w:rFonts w:ascii="Century Gothic" w:hAnsi="Century Gothic" w:cs="Calibri"/>
        </w:rPr>
        <w:t xml:space="preserve">to request </w:t>
      </w:r>
      <w:r w:rsidR="000F4EBA">
        <w:rPr>
          <w:rFonts w:ascii="Century Gothic" w:hAnsi="Century Gothic" w:cs="Calibri"/>
        </w:rPr>
        <w:t xml:space="preserve">revenue </w:t>
      </w:r>
      <w:r w:rsidR="00484F85" w:rsidRPr="00484F85">
        <w:rPr>
          <w:rFonts w:ascii="Century Gothic" w:hAnsi="Century Gothic" w:cs="Calibri"/>
        </w:rPr>
        <w:t>increases</w:t>
      </w:r>
      <w:r w:rsidR="00645B6E" w:rsidRPr="00645B6E">
        <w:rPr>
          <w:rFonts w:ascii="Century Gothic" w:hAnsi="Century Gothic" w:cs="Calibri"/>
        </w:rPr>
        <w:t xml:space="preserve"> </w:t>
      </w:r>
      <w:r w:rsidR="00484F85" w:rsidRPr="00484F85">
        <w:rPr>
          <w:rFonts w:ascii="Century Gothic" w:hAnsi="Century Gothic" w:cs="Calibri"/>
        </w:rPr>
        <w:t xml:space="preserve">based on a forecast of the </w:t>
      </w:r>
      <w:r w:rsidR="00484F85">
        <w:rPr>
          <w:rFonts w:ascii="Century Gothic" w:hAnsi="Century Gothic" w:cs="Calibri"/>
        </w:rPr>
        <w:t>Consumer Price Index (</w:t>
      </w:r>
      <w:r w:rsidR="00484F85" w:rsidRPr="00484F85">
        <w:rPr>
          <w:rFonts w:ascii="Century Gothic" w:hAnsi="Century Gothic" w:cs="Calibri"/>
        </w:rPr>
        <w:t>CPI</w:t>
      </w:r>
      <w:r w:rsidR="00484F85">
        <w:rPr>
          <w:rFonts w:ascii="Century Gothic" w:hAnsi="Century Gothic" w:cs="Calibri"/>
        </w:rPr>
        <w:t>)</w:t>
      </w:r>
      <w:r w:rsidR="00484F85" w:rsidRPr="00484F85">
        <w:rPr>
          <w:rFonts w:ascii="Century Gothic" w:hAnsi="Century Gothic" w:cs="Calibri"/>
        </w:rPr>
        <w:t xml:space="preserve"> as of September of each year, minus </w:t>
      </w:r>
      <w:r w:rsidR="00C20052">
        <w:rPr>
          <w:rFonts w:ascii="Century Gothic" w:hAnsi="Century Gothic" w:cs="Calibri"/>
        </w:rPr>
        <w:t>a</w:t>
      </w:r>
      <w:r w:rsidR="00484F85" w:rsidRPr="00484F85">
        <w:rPr>
          <w:rFonts w:ascii="Century Gothic" w:hAnsi="Century Gothic" w:cs="Calibri"/>
        </w:rPr>
        <w:t xml:space="preserve"> productivity factor.</w:t>
      </w:r>
      <w:r w:rsidR="00484F85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 xml:space="preserve"> </w:t>
      </w:r>
      <w:r w:rsidR="00C20052" w:rsidRPr="00754CC6">
        <w:rPr>
          <w:rFonts w:ascii="Century Gothic" w:eastAsia="Times New Roman" w:hAnsi="Century Gothic" w:cs="Segoe UI"/>
          <w:color w:val="000000"/>
          <w:shd w:val="clear" w:color="auto" w:fill="FFFFFF"/>
        </w:rPr>
        <w:t>This advice letter also implements adjustments</w:t>
      </w:r>
      <w:r w:rsidR="003649D4">
        <w:rPr>
          <w:rFonts w:ascii="Century Gothic" w:eastAsia="Times New Roman" w:hAnsi="Century Gothic" w:cs="Segoe UI"/>
          <w:color w:val="000000"/>
          <w:shd w:val="clear" w:color="auto" w:fill="FFFFFF"/>
        </w:rPr>
        <w:t xml:space="preserve"> approved in Liberty’s </w:t>
      </w:r>
      <w:r w:rsidR="00C20052" w:rsidRPr="00754CC6">
        <w:rPr>
          <w:rFonts w:ascii="Century Gothic" w:eastAsia="Times New Roman" w:hAnsi="Century Gothic" w:cs="Segoe UI"/>
          <w:color w:val="000000"/>
          <w:shd w:val="clear" w:color="auto" w:fill="FFFFFF"/>
        </w:rPr>
        <w:t xml:space="preserve"> 2019 General Rate Case (GRC) related to </w:t>
      </w:r>
      <w:r w:rsidR="003649D4">
        <w:rPr>
          <w:rFonts w:ascii="Century Gothic" w:eastAsia="Times New Roman" w:hAnsi="Century Gothic" w:cs="Segoe UI"/>
          <w:color w:val="000000"/>
          <w:shd w:val="clear" w:color="auto" w:fill="FFFFFF"/>
        </w:rPr>
        <w:t xml:space="preserve">1) 2021 safety and reliability related </w:t>
      </w:r>
      <w:r w:rsidR="00C20052" w:rsidRPr="00754CC6">
        <w:rPr>
          <w:rFonts w:ascii="Century Gothic" w:eastAsia="Times New Roman" w:hAnsi="Century Gothic" w:cs="Segoe UI"/>
          <w:color w:val="000000"/>
          <w:shd w:val="clear" w:color="auto" w:fill="FFFFFF"/>
        </w:rPr>
        <w:t>capital projects</w:t>
      </w:r>
      <w:r w:rsidR="003649D4">
        <w:rPr>
          <w:rFonts w:ascii="Century Gothic" w:eastAsia="Times New Roman" w:hAnsi="Century Gothic" w:cs="Segoe UI"/>
          <w:color w:val="000000"/>
          <w:shd w:val="clear" w:color="auto" w:fill="FFFFFF"/>
        </w:rPr>
        <w:t xml:space="preserve">; </w:t>
      </w:r>
      <w:r w:rsidR="00C20052" w:rsidRPr="00754CC6">
        <w:rPr>
          <w:rFonts w:ascii="Century Gothic" w:eastAsia="Times New Roman" w:hAnsi="Century Gothic" w:cs="Segoe UI"/>
          <w:color w:val="000000"/>
          <w:shd w:val="clear" w:color="auto" w:fill="FFFFFF"/>
        </w:rPr>
        <w:t xml:space="preserve"> and </w:t>
      </w:r>
      <w:r w:rsidR="003649D4">
        <w:rPr>
          <w:rFonts w:ascii="Century Gothic" w:eastAsia="Times New Roman" w:hAnsi="Century Gothic" w:cs="Segoe UI"/>
          <w:color w:val="000000"/>
          <w:shd w:val="clear" w:color="auto" w:fill="FFFFFF"/>
        </w:rPr>
        <w:t xml:space="preserve">2) </w:t>
      </w:r>
      <w:r w:rsidR="00C20052" w:rsidRPr="00754CC6">
        <w:rPr>
          <w:rFonts w:ascii="Century Gothic" w:eastAsia="Times New Roman" w:hAnsi="Century Gothic" w:cs="Segoe UI"/>
          <w:color w:val="000000"/>
          <w:shd w:val="clear" w:color="auto" w:fill="FFFFFF"/>
        </w:rPr>
        <w:t>escalation of operations and maintenance (O&amp;M) and administrative and general (A&amp;G) expenses.</w:t>
      </w:r>
    </w:p>
    <w:p w14:paraId="11D2509B" w14:textId="304175FA" w:rsidR="00C20052" w:rsidRPr="00C20052" w:rsidRDefault="003C42A7" w:rsidP="00754CC6">
      <w:pPr>
        <w:pStyle w:val="NormalWeb"/>
      </w:pPr>
      <w:r>
        <w:rPr>
          <w:rFonts w:ascii="Century Gothic" w:hAnsi="Century Gothic"/>
          <w:color w:val="000000"/>
        </w:rPr>
        <w:t>T</w:t>
      </w:r>
      <w:r w:rsidR="00805E6B">
        <w:rPr>
          <w:rFonts w:ascii="Century Gothic" w:hAnsi="Century Gothic"/>
          <w:color w:val="000000"/>
        </w:rPr>
        <w:t>he second advice letter</w:t>
      </w:r>
      <w:r>
        <w:rPr>
          <w:rFonts w:ascii="Century Gothic" w:hAnsi="Century Gothic"/>
          <w:color w:val="000000"/>
        </w:rPr>
        <w:t xml:space="preserve"> implements</w:t>
      </w:r>
      <w:r w:rsidR="00805E6B">
        <w:rPr>
          <w:rFonts w:ascii="Century Gothic" w:hAnsi="Century Gothic"/>
          <w:color w:val="000000"/>
        </w:rPr>
        <w:t xml:space="preserve"> revenue increase</w:t>
      </w:r>
      <w:r w:rsidR="00A65A2C">
        <w:rPr>
          <w:rFonts w:ascii="Century Gothic" w:hAnsi="Century Gothic"/>
          <w:color w:val="000000"/>
        </w:rPr>
        <w:t xml:space="preserve">s </w:t>
      </w:r>
      <w:r>
        <w:rPr>
          <w:rFonts w:ascii="Century Gothic" w:hAnsi="Century Gothic"/>
          <w:color w:val="000000"/>
        </w:rPr>
        <w:t>to amortize the cost due to the implementation delay of the 2019</w:t>
      </w:r>
      <w:r w:rsidR="00EF52AA">
        <w:rPr>
          <w:rFonts w:ascii="Century Gothic" w:hAnsi="Century Gothic"/>
          <w:color w:val="000000"/>
        </w:rPr>
        <w:t xml:space="preserve"> </w:t>
      </w:r>
      <w:r w:rsidR="002A4093">
        <w:rPr>
          <w:rFonts w:ascii="Century Gothic" w:hAnsi="Century Gothic"/>
          <w:color w:val="000000"/>
        </w:rPr>
        <w:t>GRC</w:t>
      </w:r>
      <w:r>
        <w:rPr>
          <w:rFonts w:ascii="Century Gothic" w:hAnsi="Century Gothic"/>
          <w:color w:val="000000"/>
        </w:rPr>
        <w:t xml:space="preserve"> </w:t>
      </w:r>
      <w:r w:rsidR="00EF52AA">
        <w:rPr>
          <w:rFonts w:ascii="Century Gothic" w:hAnsi="Century Gothic"/>
          <w:color w:val="000000"/>
        </w:rPr>
        <w:t>decision</w:t>
      </w:r>
      <w:r w:rsidR="00A65A2C">
        <w:rPr>
          <w:rFonts w:ascii="Century Gothic" w:hAnsi="Century Gothic"/>
          <w:color w:val="000000"/>
        </w:rPr>
        <w:t xml:space="preserve"> approved by the CPUC in August 2020</w:t>
      </w:r>
      <w:r>
        <w:rPr>
          <w:rFonts w:ascii="Century Gothic" w:hAnsi="Century Gothic"/>
          <w:color w:val="000000"/>
        </w:rPr>
        <w:t>,</w:t>
      </w:r>
      <w:r w:rsidR="00A65A2C">
        <w:rPr>
          <w:rFonts w:ascii="Century Gothic" w:hAnsi="Century Gothic"/>
          <w:color w:val="000000"/>
        </w:rPr>
        <w:t xml:space="preserve"> as well as other regulatory account adjustments. </w:t>
      </w:r>
      <w:r w:rsidR="00EF52AA">
        <w:rPr>
          <w:rFonts w:ascii="Century Gothic" w:hAnsi="Century Gothic"/>
          <w:color w:val="000000"/>
        </w:rPr>
        <w:t xml:space="preserve"> </w:t>
      </w:r>
    </w:p>
    <w:p w14:paraId="422D72BB" w14:textId="4C6B1696" w:rsidR="00A65A2C" w:rsidRPr="00A65A2C" w:rsidRDefault="00A65A2C" w:rsidP="00A65A2C">
      <w:pPr>
        <w:ind w:firstLine="0"/>
        <w:rPr>
          <w:rFonts w:ascii="Calibri" w:eastAsia="Times New Roman" w:hAnsi="Calibri" w:cs="Calibri"/>
          <w:color w:val="000000"/>
        </w:rPr>
      </w:pPr>
    </w:p>
    <w:p w14:paraId="53F65CF0" w14:textId="77777777" w:rsidR="00484F85" w:rsidRDefault="00484F85" w:rsidP="00484F85">
      <w:pPr>
        <w:ind w:firstLine="0"/>
        <w:rPr>
          <w:rFonts w:ascii="Century Gothic" w:hAnsi="Century Gothic" w:cs="Calibri"/>
          <w:bCs/>
        </w:rPr>
      </w:pPr>
    </w:p>
    <w:p w14:paraId="435F5421" w14:textId="77777777" w:rsidR="00421E5E" w:rsidRPr="00960036" w:rsidRDefault="00421E5E" w:rsidP="00421E5E">
      <w:pPr>
        <w:pBdr>
          <w:bottom w:val="dotted" w:sz="24" w:space="1" w:color="auto"/>
        </w:pBdr>
        <w:ind w:firstLine="0"/>
        <w:rPr>
          <w:rFonts w:ascii="Century Gothic" w:hAnsi="Century Gothic" w:cs="Calibri"/>
          <w:b/>
          <w:bCs/>
          <w:sz w:val="14"/>
          <w:szCs w:val="14"/>
        </w:rPr>
      </w:pPr>
    </w:p>
    <w:p w14:paraId="3B2B4E54" w14:textId="77777777" w:rsidR="00421E5E" w:rsidRPr="00960036" w:rsidRDefault="00421E5E" w:rsidP="00421E5E">
      <w:pPr>
        <w:pStyle w:val="ListParagraph"/>
        <w:ind w:left="360" w:firstLine="0"/>
        <w:rPr>
          <w:rFonts w:ascii="Century Gothic" w:hAnsi="Century Gothic" w:cs="Calibri"/>
          <w:sz w:val="14"/>
          <w:szCs w:val="14"/>
          <w:u w:val="single"/>
        </w:rPr>
      </w:pPr>
    </w:p>
    <w:p w14:paraId="0768CC47" w14:textId="69B727A6" w:rsidR="002164F7" w:rsidRPr="00960036" w:rsidRDefault="00AC796F" w:rsidP="00AF0AD6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 w:rsidRPr="00960036">
        <w:rPr>
          <w:rFonts w:ascii="Century Gothic" w:hAnsi="Century Gothic" w:cs="Calibri"/>
          <w:b/>
          <w:bCs/>
          <w:u w:val="single"/>
        </w:rPr>
        <w:t xml:space="preserve">Estimated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Bill Impacts of Requested Rate Changes Effective </w:t>
      </w:r>
      <w:r w:rsidR="006C1794">
        <w:rPr>
          <w:rFonts w:ascii="Century Gothic" w:hAnsi="Century Gothic" w:cs="Calibri"/>
          <w:b/>
          <w:bCs/>
          <w:u w:val="single"/>
        </w:rPr>
        <w:t>April</w:t>
      </w:r>
      <w:r w:rsidR="00D907EB">
        <w:rPr>
          <w:rFonts w:ascii="Century Gothic" w:hAnsi="Century Gothic" w:cs="Calibri"/>
          <w:b/>
          <w:bCs/>
          <w:u w:val="single"/>
        </w:rPr>
        <w:t xml:space="preserve"> 1</w:t>
      </w:r>
      <w:r w:rsidR="002164F7" w:rsidRPr="00960036">
        <w:rPr>
          <w:rFonts w:ascii="Century Gothic" w:hAnsi="Century Gothic" w:cs="Calibri"/>
          <w:b/>
          <w:bCs/>
          <w:u w:val="single"/>
        </w:rPr>
        <w:t>, 202</w:t>
      </w:r>
      <w:r w:rsidR="000E5553">
        <w:rPr>
          <w:rFonts w:ascii="Century Gothic" w:hAnsi="Century Gothic" w:cs="Calibri"/>
          <w:b/>
          <w:bCs/>
          <w:u w:val="single"/>
        </w:rPr>
        <w:t>1</w:t>
      </w:r>
      <w:r w:rsidR="002164F7" w:rsidRPr="00960036">
        <w:rPr>
          <w:rFonts w:ascii="Century Gothic" w:hAnsi="Century Gothic" w:cs="Calibri"/>
          <w:b/>
          <w:bCs/>
          <w:u w:val="single"/>
        </w:rPr>
        <w:t>:</w:t>
      </w:r>
    </w:p>
    <w:p w14:paraId="5A717883" w14:textId="77777777" w:rsidR="002164F7" w:rsidRPr="00960036" w:rsidRDefault="002164F7" w:rsidP="002164F7">
      <w:pPr>
        <w:ind w:firstLine="0"/>
        <w:rPr>
          <w:rFonts w:ascii="Century Gothic" w:hAnsi="Century Gothic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960036" w14:paraId="612F5224" w14:textId="77777777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E2926AF" w14:textId="77777777" w:rsidR="002164F7" w:rsidRPr="00960036" w:rsidRDefault="00CB4F96" w:rsidP="002164F7">
            <w:pPr>
              <w:ind w:firstLine="0"/>
              <w:jc w:val="center"/>
              <w:rPr>
                <w:rFonts w:ascii="Century Gothic" w:hAnsi="Century Gothic" w:cs="Calibri"/>
                <w:i/>
                <w:iCs/>
              </w:rPr>
            </w:pPr>
            <w:r w:rsidRPr="00960036">
              <w:rPr>
                <w:rFonts w:ascii="Century Gothic" w:hAnsi="Century Gothic" w:cs="Calibri"/>
              </w:rPr>
              <w:t xml:space="preserve">Estimated </w:t>
            </w:r>
            <w:r w:rsidR="002164F7" w:rsidRPr="00960036">
              <w:rPr>
                <w:rFonts w:ascii="Century Gothic" w:hAnsi="Century Gothic" w:cs="Calibri"/>
              </w:rPr>
              <w:t>Electric Bill Impacts</w:t>
            </w:r>
            <w:r w:rsidR="002164F7" w:rsidRPr="00960036">
              <w:rPr>
                <w:rStyle w:val="FootnoteReference"/>
                <w:rFonts w:ascii="Century Gothic" w:hAnsi="Century Gothic" w:cs="Calibri"/>
              </w:rPr>
              <w:footnoteReference w:id="1"/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1BBDF366" w14:textId="6126A77D" w:rsidR="002164F7" w:rsidRPr="00960036" w:rsidRDefault="00781C1D" w:rsidP="004066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Liberty</w:t>
            </w:r>
            <w:r w:rsidR="00D907EB">
              <w:rPr>
                <w:rFonts w:ascii="Century Gothic" w:hAnsi="Century Gothic" w:cs="Calibri"/>
              </w:rPr>
              <w:t xml:space="preserve"> as of</w:t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  <w:r w:rsidR="006C1794">
              <w:rPr>
                <w:rFonts w:ascii="Century Gothic" w:hAnsi="Century Gothic" w:cs="Calibri"/>
              </w:rPr>
              <w:t>April</w:t>
            </w:r>
            <w:r w:rsidR="00D907EB">
              <w:rPr>
                <w:rFonts w:ascii="Century Gothic" w:hAnsi="Century Gothic" w:cs="Calibri"/>
              </w:rPr>
              <w:t xml:space="preserve"> </w:t>
            </w:r>
            <w:r>
              <w:rPr>
                <w:rFonts w:ascii="Century Gothic" w:hAnsi="Century Gothic" w:cs="Calibri"/>
              </w:rPr>
              <w:t>1</w:t>
            </w:r>
            <w:r w:rsidR="00181170" w:rsidRPr="00960036">
              <w:rPr>
                <w:rFonts w:ascii="Century Gothic" w:hAnsi="Century Gothic" w:cs="Calibri"/>
              </w:rPr>
              <w:t>,</w:t>
            </w:r>
            <w:r w:rsidR="002164F7" w:rsidRPr="00960036">
              <w:rPr>
                <w:rFonts w:ascii="Century Gothic" w:hAnsi="Century Gothic" w:cs="Calibri"/>
              </w:rPr>
              <w:t xml:space="preserve"> 202</w:t>
            </w:r>
            <w:r>
              <w:rPr>
                <w:rFonts w:ascii="Century Gothic" w:hAnsi="Century Gothic" w:cs="Calibri"/>
              </w:rPr>
              <w:t>1</w:t>
            </w:r>
          </w:p>
        </w:tc>
      </w:tr>
      <w:tr w:rsidR="002164F7" w:rsidRPr="00960036" w14:paraId="3514E4CC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6F6F10DB" w14:textId="77777777" w:rsidR="002164F7" w:rsidRPr="0096003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</w:t>
            </w:r>
            <w:r w:rsidR="002164F7" w:rsidRPr="00960036">
              <w:rPr>
                <w:rFonts w:ascii="Century Gothic" w:hAnsi="Century Gothic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14:paraId="12E6A356" w14:textId="0FB0D3A9" w:rsidR="002164F7" w:rsidRPr="0096003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B637B2">
              <w:rPr>
                <w:rFonts w:ascii="Century Gothic" w:hAnsi="Century Gothic" w:cs="Calibri"/>
              </w:rPr>
              <w:t>1</w:t>
            </w:r>
            <w:r w:rsidR="00B43013">
              <w:rPr>
                <w:rFonts w:ascii="Century Gothic" w:hAnsi="Century Gothic" w:cs="Calibri"/>
              </w:rPr>
              <w:t>13</w:t>
            </w:r>
            <w:r w:rsidR="000E5553">
              <w:rPr>
                <w:rFonts w:ascii="Century Gothic" w:hAnsi="Century Gothic" w:cs="Calibri"/>
              </w:rPr>
              <w:t>.</w:t>
            </w:r>
            <w:r w:rsidR="00B43013">
              <w:rPr>
                <w:rFonts w:ascii="Century Gothic" w:hAnsi="Century Gothic" w:cs="Calibri"/>
              </w:rPr>
              <w:t>87</w:t>
            </w:r>
          </w:p>
        </w:tc>
      </w:tr>
      <w:tr w:rsidR="00863057" w:rsidRPr="00960036" w14:paraId="46C57EB9" w14:textId="77777777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D9A35AE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Non-CARE electric bill increase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200A50AB" w14:textId="6731792C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B43013">
              <w:rPr>
                <w:rFonts w:ascii="Century Gothic" w:hAnsi="Century Gothic" w:cs="Calibri"/>
              </w:rPr>
              <w:t>9.65</w:t>
            </w:r>
            <w:r>
              <w:rPr>
                <w:rFonts w:ascii="Century Gothic" w:hAnsi="Century Gothic" w:cs="Calibri"/>
              </w:rPr>
              <w:t xml:space="preserve"> (</w:t>
            </w:r>
            <w:r w:rsidR="00B43013">
              <w:rPr>
                <w:rFonts w:ascii="Century Gothic" w:hAnsi="Century Gothic" w:cs="Calibri"/>
              </w:rPr>
              <w:t>9.26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  <w:tr w:rsidR="00863057" w:rsidRPr="00960036" w14:paraId="5ADC1EFD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219B4771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</w:t>
            </w:r>
          </w:p>
        </w:tc>
        <w:tc>
          <w:tcPr>
            <w:tcW w:w="3944" w:type="dxa"/>
            <w:shd w:val="clear" w:color="auto" w:fill="00B0F0"/>
          </w:tcPr>
          <w:p w14:paraId="5D10716C" w14:textId="700288EA" w:rsidR="00863057" w:rsidRPr="00960036" w:rsidRDefault="00863057" w:rsidP="008630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B43013">
              <w:rPr>
                <w:rFonts w:ascii="Century Gothic" w:hAnsi="Century Gothic" w:cs="Calibri"/>
              </w:rPr>
              <w:t>87.71</w:t>
            </w:r>
          </w:p>
        </w:tc>
      </w:tr>
      <w:tr w:rsidR="00863057" w:rsidRPr="00960036" w14:paraId="2BDACA1A" w14:textId="77777777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99DB92F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 increase</w:t>
            </w:r>
          </w:p>
        </w:tc>
        <w:tc>
          <w:tcPr>
            <w:tcW w:w="3944" w:type="dxa"/>
          </w:tcPr>
          <w:p w14:paraId="42D621C8" w14:textId="633443DE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B43013">
              <w:rPr>
                <w:rFonts w:ascii="Century Gothic" w:hAnsi="Century Gothic" w:cs="Calibri"/>
              </w:rPr>
              <w:t>10.26</w:t>
            </w:r>
            <w:r w:rsidR="000E5553">
              <w:rPr>
                <w:rFonts w:ascii="Century Gothic" w:hAnsi="Century Gothic" w:cs="Calibri"/>
              </w:rPr>
              <w:t xml:space="preserve"> </w:t>
            </w:r>
            <w:r>
              <w:rPr>
                <w:rFonts w:ascii="Century Gothic" w:hAnsi="Century Gothic" w:cs="Calibri"/>
              </w:rPr>
              <w:t>(</w:t>
            </w:r>
            <w:r w:rsidR="00B43013">
              <w:rPr>
                <w:rFonts w:ascii="Century Gothic" w:hAnsi="Century Gothic" w:cs="Calibri"/>
              </w:rPr>
              <w:t>13.78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</w:tbl>
    <w:p w14:paraId="03881620" w14:textId="77777777" w:rsidR="002164F7" w:rsidRPr="00960036" w:rsidRDefault="002164F7" w:rsidP="002164F7">
      <w:pPr>
        <w:pStyle w:val="ListParagraph"/>
        <w:ind w:left="0" w:firstLine="0"/>
        <w:rPr>
          <w:rFonts w:ascii="Century Gothic" w:hAnsi="Century Gothic" w:cs="Calibri"/>
          <w:sz w:val="26"/>
          <w:szCs w:val="26"/>
        </w:rPr>
      </w:pPr>
    </w:p>
    <w:p w14:paraId="74D5C7E3" w14:textId="77777777" w:rsidR="002314F9" w:rsidRPr="00960036" w:rsidRDefault="002314F9" w:rsidP="0077538E">
      <w:pPr>
        <w:pStyle w:val="ListParagraph"/>
        <w:ind w:left="0" w:firstLine="0"/>
        <w:contextualSpacing w:val="0"/>
        <w:rPr>
          <w:rFonts w:ascii="Century Gothic" w:hAnsi="Century Gothic" w:cs="Calibri"/>
          <w:sz w:val="26"/>
          <w:szCs w:val="26"/>
        </w:rPr>
      </w:pPr>
    </w:p>
    <w:sectPr w:rsidR="002314F9" w:rsidRPr="00960036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2F236" w14:textId="77777777" w:rsidR="00EF5825" w:rsidRDefault="00EF5825">
      <w:r>
        <w:separator/>
      </w:r>
    </w:p>
    <w:p w14:paraId="3772EC51" w14:textId="77777777" w:rsidR="00EF5825" w:rsidRDefault="00EF5825"/>
  </w:endnote>
  <w:endnote w:type="continuationSeparator" w:id="0">
    <w:p w14:paraId="1C364E24" w14:textId="77777777" w:rsidR="00EF5825" w:rsidRDefault="00EF5825">
      <w:r>
        <w:continuationSeparator/>
      </w:r>
    </w:p>
    <w:p w14:paraId="6A606A81" w14:textId="77777777" w:rsidR="00EF5825" w:rsidRDefault="00EF5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572D4E" w14:textId="77777777" w:rsidR="00A42FDB" w:rsidRDefault="003F58ED" w:rsidP="00AA5D1C">
        <w:pPr>
          <w:pStyle w:val="Footer"/>
          <w:rPr>
            <w:rStyle w:val="PageNumber"/>
          </w:rPr>
        </w:pPr>
      </w:p>
    </w:sdtContent>
  </w:sdt>
  <w:p w14:paraId="6F71C3C7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BD418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="008C068D">
          <w:rPr>
            <w:rFonts w:ascii="Garamond" w:hAnsi="Garamond"/>
            <w:noProof/>
          </w:rPr>
          <w:t>2</w:t>
        </w:r>
      </w:p>
    </w:sdtContent>
  </w:sdt>
  <w:p w14:paraId="71146E76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5A5E26B4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="003A410B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</w:rPr>
          <w:t xml:space="preserve"> </w:t>
        </w:r>
      </w:p>
    </w:sdtContent>
  </w:sdt>
  <w:p w14:paraId="68FFB7EE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FFF3E" w14:textId="77777777" w:rsidR="00EF5825" w:rsidRDefault="00EF5825">
      <w:r>
        <w:separator/>
      </w:r>
    </w:p>
    <w:p w14:paraId="7B7FC1BD" w14:textId="77777777" w:rsidR="00EF5825" w:rsidRDefault="00EF5825"/>
  </w:footnote>
  <w:footnote w:type="continuationSeparator" w:id="0">
    <w:p w14:paraId="6419B82B" w14:textId="77777777" w:rsidR="00EF5825" w:rsidRDefault="00EF5825">
      <w:r>
        <w:continuationSeparator/>
      </w:r>
    </w:p>
    <w:p w14:paraId="49BB2928" w14:textId="77777777" w:rsidR="00EF5825" w:rsidRDefault="00EF5825"/>
  </w:footnote>
  <w:footnote w:id="1">
    <w:p w14:paraId="35F0C6A5" w14:textId="786B71EA" w:rsidR="00A42FDB" w:rsidRPr="00960036" w:rsidRDefault="00A42FDB" w:rsidP="002164F7">
      <w:pPr>
        <w:pStyle w:val="FootnoteText"/>
        <w:rPr>
          <w:rFonts w:ascii="Century Gothic" w:hAnsi="Century Gothic"/>
          <w:sz w:val="22"/>
          <w:szCs w:val="22"/>
        </w:rPr>
      </w:pPr>
      <w:r w:rsidRPr="00354A4E">
        <w:rPr>
          <w:rStyle w:val="FootnoteReference"/>
          <w:rFonts w:ascii="Garamond" w:hAnsi="Garamond"/>
          <w:sz w:val="22"/>
          <w:szCs w:val="22"/>
        </w:rPr>
        <w:footnoteRef/>
      </w:r>
      <w:r w:rsidRPr="00354A4E">
        <w:rPr>
          <w:rFonts w:ascii="Garamond" w:hAnsi="Garamond"/>
          <w:sz w:val="22"/>
          <w:szCs w:val="22"/>
        </w:rPr>
        <w:t xml:space="preserve"> </w:t>
      </w:r>
      <w:r w:rsidRPr="00960036">
        <w:rPr>
          <w:rFonts w:ascii="Century Gothic" w:hAnsi="Century Gothic"/>
          <w:sz w:val="22"/>
          <w:szCs w:val="22"/>
        </w:rPr>
        <w:t>Based on a “typical</w:t>
      </w:r>
      <w:r w:rsidR="00354A4E" w:rsidRPr="00960036">
        <w:rPr>
          <w:rFonts w:ascii="Century Gothic" w:hAnsi="Century Gothic"/>
          <w:sz w:val="22"/>
          <w:szCs w:val="22"/>
        </w:rPr>
        <w:t>” residential customer using, on average,</w:t>
      </w:r>
      <w:r w:rsidRPr="00960036">
        <w:rPr>
          <w:rFonts w:ascii="Century Gothic" w:hAnsi="Century Gothic"/>
          <w:sz w:val="22"/>
          <w:szCs w:val="22"/>
        </w:rPr>
        <w:t xml:space="preserve"> </w:t>
      </w:r>
      <w:r w:rsidR="00FC35FD">
        <w:rPr>
          <w:rFonts w:ascii="Century Gothic" w:hAnsi="Century Gothic"/>
          <w:sz w:val="22"/>
          <w:szCs w:val="22"/>
        </w:rPr>
        <w:t xml:space="preserve">564 </w:t>
      </w:r>
      <w:r w:rsidRPr="00960036">
        <w:rPr>
          <w:rFonts w:ascii="Century Gothic" w:hAnsi="Century Gothic"/>
          <w:sz w:val="22"/>
          <w:szCs w:val="22"/>
        </w:rPr>
        <w:t>kilowatt-hours per month</w:t>
      </w:r>
      <w:r w:rsidR="00FC35FD">
        <w:rPr>
          <w:rFonts w:ascii="Century Gothic" w:hAnsi="Century Gothic"/>
          <w:sz w:val="22"/>
          <w:szCs w:val="22"/>
        </w:rPr>
        <w:t xml:space="preserve"> for Non-Care and 589 kilowatt-hours per month for CARE</w:t>
      </w:r>
      <w:r w:rsidRPr="00960036">
        <w:rPr>
          <w:rFonts w:ascii="Century Gothic" w:hAnsi="Century Gothic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39152363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7269C8E" w14:textId="6B5CFD3B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</w:t>
          </w:r>
          <w:r w:rsidR="008133BE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March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</w:t>
          </w:r>
          <w:r w:rsidR="00747EB8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1</w:t>
          </w:r>
        </w:p>
      </w:tc>
      <w:tc>
        <w:tcPr>
          <w:tcW w:w="6151" w:type="dxa"/>
          <w:shd w:val="clear" w:color="auto" w:fill="002060"/>
          <w:vAlign w:val="center"/>
        </w:tcPr>
        <w:p w14:paraId="1F50F7D6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00409726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48F34E71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28156731" wp14:editId="582495BF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AFB6920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607F3E0C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4698A1B" w14:textId="6AD66D38" w:rsidR="00A42FDB" w:rsidRPr="00CE19C8" w:rsidRDefault="00A42FDB" w:rsidP="00CE19C8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   </w:t>
          </w:r>
          <w:r w:rsidR="006C1794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April</w:t>
          </w:r>
          <w:r w:rsidR="009C08EA" w:rsidRPr="00CE19C8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</w:t>
          </w:r>
          <w:r w:rsidRPr="00CE19C8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202</w:t>
          </w:r>
          <w:r w:rsidR="00484F85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1</w:t>
          </w:r>
        </w:p>
      </w:tc>
      <w:tc>
        <w:tcPr>
          <w:tcW w:w="6151" w:type="dxa"/>
          <w:shd w:val="clear" w:color="auto" w:fill="002060"/>
          <w:vAlign w:val="center"/>
        </w:tcPr>
        <w:p w14:paraId="0FE42E3D" w14:textId="77777777" w:rsidR="00960036" w:rsidRPr="00960036" w:rsidRDefault="00A42FDB" w:rsidP="00960036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RATE CHANGE ADVISORY</w:t>
          </w:r>
          <w:r w:rsidR="00960036"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 xml:space="preserve"> ENERGY DIVISION</w:t>
          </w:r>
        </w:p>
        <w:p w14:paraId="3FCE9A86" w14:textId="77777777" w:rsidR="00A42FDB" w:rsidRPr="00960036" w:rsidRDefault="00A42FDB" w:rsidP="005D2EAB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</w:rPr>
          </w:pPr>
        </w:p>
      </w:tc>
      <w:tc>
        <w:tcPr>
          <w:tcW w:w="2691" w:type="dxa"/>
          <w:shd w:val="clear" w:color="auto" w:fill="002060"/>
        </w:tcPr>
        <w:p w14:paraId="740AE1A4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0E919D27" wp14:editId="03468FB4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C7C3ABD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35AE"/>
    <w:multiLevelType w:val="hybridMultilevel"/>
    <w:tmpl w:val="85C2E2A8"/>
    <w:lvl w:ilvl="0" w:tplc="DC5C729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8A1CC2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115F0"/>
    <w:rsid w:val="00017089"/>
    <w:rsid w:val="00023054"/>
    <w:rsid w:val="00024CF2"/>
    <w:rsid w:val="00025EEC"/>
    <w:rsid w:val="00026904"/>
    <w:rsid w:val="00026B38"/>
    <w:rsid w:val="00027DF1"/>
    <w:rsid w:val="00031903"/>
    <w:rsid w:val="0003222D"/>
    <w:rsid w:val="00034FD9"/>
    <w:rsid w:val="00041AA7"/>
    <w:rsid w:val="0004483E"/>
    <w:rsid w:val="00045CDD"/>
    <w:rsid w:val="0006665E"/>
    <w:rsid w:val="0007148B"/>
    <w:rsid w:val="000808F7"/>
    <w:rsid w:val="00082BD3"/>
    <w:rsid w:val="000858CE"/>
    <w:rsid w:val="000A298C"/>
    <w:rsid w:val="000A37E9"/>
    <w:rsid w:val="000A58EF"/>
    <w:rsid w:val="000B01E8"/>
    <w:rsid w:val="000B2F94"/>
    <w:rsid w:val="000C2172"/>
    <w:rsid w:val="000C4126"/>
    <w:rsid w:val="000D0C25"/>
    <w:rsid w:val="000D17D3"/>
    <w:rsid w:val="000D185B"/>
    <w:rsid w:val="000D6E0B"/>
    <w:rsid w:val="000E3D03"/>
    <w:rsid w:val="000E5553"/>
    <w:rsid w:val="000F4EBA"/>
    <w:rsid w:val="001227B5"/>
    <w:rsid w:val="00130972"/>
    <w:rsid w:val="0013200C"/>
    <w:rsid w:val="00152406"/>
    <w:rsid w:val="00154274"/>
    <w:rsid w:val="00165273"/>
    <w:rsid w:val="001742DA"/>
    <w:rsid w:val="00181170"/>
    <w:rsid w:val="001923C3"/>
    <w:rsid w:val="00197C00"/>
    <w:rsid w:val="001A50A8"/>
    <w:rsid w:val="001B6393"/>
    <w:rsid w:val="001D291E"/>
    <w:rsid w:val="001D6674"/>
    <w:rsid w:val="001F7C6B"/>
    <w:rsid w:val="002005CC"/>
    <w:rsid w:val="002027EB"/>
    <w:rsid w:val="00205FD5"/>
    <w:rsid w:val="00210772"/>
    <w:rsid w:val="00211A70"/>
    <w:rsid w:val="00216078"/>
    <w:rsid w:val="002164F7"/>
    <w:rsid w:val="00220C86"/>
    <w:rsid w:val="0022257D"/>
    <w:rsid w:val="00225BA9"/>
    <w:rsid w:val="0022639A"/>
    <w:rsid w:val="00226EBB"/>
    <w:rsid w:val="00230572"/>
    <w:rsid w:val="002314F9"/>
    <w:rsid w:val="0024182E"/>
    <w:rsid w:val="00244F7D"/>
    <w:rsid w:val="00247273"/>
    <w:rsid w:val="00247CD5"/>
    <w:rsid w:val="00247F2E"/>
    <w:rsid w:val="00250C3A"/>
    <w:rsid w:val="00255C41"/>
    <w:rsid w:val="002604B0"/>
    <w:rsid w:val="00264F19"/>
    <w:rsid w:val="0027768E"/>
    <w:rsid w:val="002826A9"/>
    <w:rsid w:val="0029088B"/>
    <w:rsid w:val="002A2068"/>
    <w:rsid w:val="002A2DE6"/>
    <w:rsid w:val="002A4093"/>
    <w:rsid w:val="002A41E4"/>
    <w:rsid w:val="002A770B"/>
    <w:rsid w:val="002B32F2"/>
    <w:rsid w:val="002C361D"/>
    <w:rsid w:val="002C4428"/>
    <w:rsid w:val="002C7936"/>
    <w:rsid w:val="002D55E3"/>
    <w:rsid w:val="00313C67"/>
    <w:rsid w:val="003148B3"/>
    <w:rsid w:val="0032676E"/>
    <w:rsid w:val="0032777C"/>
    <w:rsid w:val="00331A8E"/>
    <w:rsid w:val="003373DE"/>
    <w:rsid w:val="0035260C"/>
    <w:rsid w:val="00354A4E"/>
    <w:rsid w:val="0036029F"/>
    <w:rsid w:val="003649D4"/>
    <w:rsid w:val="00375778"/>
    <w:rsid w:val="00375A37"/>
    <w:rsid w:val="00383440"/>
    <w:rsid w:val="003A410B"/>
    <w:rsid w:val="003A5EDF"/>
    <w:rsid w:val="003B1368"/>
    <w:rsid w:val="003B60EF"/>
    <w:rsid w:val="003C42A7"/>
    <w:rsid w:val="003D265D"/>
    <w:rsid w:val="003D72D0"/>
    <w:rsid w:val="003E1C2B"/>
    <w:rsid w:val="003E2336"/>
    <w:rsid w:val="003E2AB6"/>
    <w:rsid w:val="003E6280"/>
    <w:rsid w:val="003F497F"/>
    <w:rsid w:val="003F58ED"/>
    <w:rsid w:val="0040086D"/>
    <w:rsid w:val="004041BA"/>
    <w:rsid w:val="004066B7"/>
    <w:rsid w:val="004109D4"/>
    <w:rsid w:val="00420AE1"/>
    <w:rsid w:val="00420D07"/>
    <w:rsid w:val="00421E5E"/>
    <w:rsid w:val="004308B1"/>
    <w:rsid w:val="00433148"/>
    <w:rsid w:val="00433CE9"/>
    <w:rsid w:val="004430A4"/>
    <w:rsid w:val="00443872"/>
    <w:rsid w:val="004576EC"/>
    <w:rsid w:val="004577BF"/>
    <w:rsid w:val="004642EC"/>
    <w:rsid w:val="00467C49"/>
    <w:rsid w:val="004706BE"/>
    <w:rsid w:val="00474F83"/>
    <w:rsid w:val="00484F85"/>
    <w:rsid w:val="00487649"/>
    <w:rsid w:val="00487DDA"/>
    <w:rsid w:val="004941D2"/>
    <w:rsid w:val="00497EB9"/>
    <w:rsid w:val="004A2C07"/>
    <w:rsid w:val="004A69F1"/>
    <w:rsid w:val="004A7E44"/>
    <w:rsid w:val="004B0515"/>
    <w:rsid w:val="004C5737"/>
    <w:rsid w:val="004E0384"/>
    <w:rsid w:val="004E154E"/>
    <w:rsid w:val="004F0FB0"/>
    <w:rsid w:val="004F467C"/>
    <w:rsid w:val="004F7B2B"/>
    <w:rsid w:val="00506C17"/>
    <w:rsid w:val="0051222C"/>
    <w:rsid w:val="00512B1B"/>
    <w:rsid w:val="00513835"/>
    <w:rsid w:val="00514305"/>
    <w:rsid w:val="005179CC"/>
    <w:rsid w:val="00530D7C"/>
    <w:rsid w:val="00531FB3"/>
    <w:rsid w:val="0053241B"/>
    <w:rsid w:val="00532841"/>
    <w:rsid w:val="00532EA7"/>
    <w:rsid w:val="005363FD"/>
    <w:rsid w:val="005372D9"/>
    <w:rsid w:val="0054359F"/>
    <w:rsid w:val="00546A7D"/>
    <w:rsid w:val="005517C6"/>
    <w:rsid w:val="00552B0C"/>
    <w:rsid w:val="00567FFB"/>
    <w:rsid w:val="00571C5D"/>
    <w:rsid w:val="00575FEF"/>
    <w:rsid w:val="00577971"/>
    <w:rsid w:val="00583A04"/>
    <w:rsid w:val="00590A29"/>
    <w:rsid w:val="00590D03"/>
    <w:rsid w:val="00596E1D"/>
    <w:rsid w:val="005A10B8"/>
    <w:rsid w:val="005C4EC3"/>
    <w:rsid w:val="005D13A8"/>
    <w:rsid w:val="005D2EAB"/>
    <w:rsid w:val="005E4368"/>
    <w:rsid w:val="005F4F7C"/>
    <w:rsid w:val="006200CA"/>
    <w:rsid w:val="00640B0E"/>
    <w:rsid w:val="006431EF"/>
    <w:rsid w:val="00645B6E"/>
    <w:rsid w:val="00645B76"/>
    <w:rsid w:val="006465FE"/>
    <w:rsid w:val="00661780"/>
    <w:rsid w:val="00664C8E"/>
    <w:rsid w:val="00670772"/>
    <w:rsid w:val="006720B2"/>
    <w:rsid w:val="00672C0F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7F07"/>
    <w:rsid w:val="006C1794"/>
    <w:rsid w:val="006D4605"/>
    <w:rsid w:val="006D5A7C"/>
    <w:rsid w:val="006D7FBD"/>
    <w:rsid w:val="006E7E7F"/>
    <w:rsid w:val="006F186F"/>
    <w:rsid w:val="006F4F92"/>
    <w:rsid w:val="00704D6C"/>
    <w:rsid w:val="00714B95"/>
    <w:rsid w:val="00715E59"/>
    <w:rsid w:val="007213FF"/>
    <w:rsid w:val="007337FB"/>
    <w:rsid w:val="007350FA"/>
    <w:rsid w:val="0073542E"/>
    <w:rsid w:val="00736959"/>
    <w:rsid w:val="00740A58"/>
    <w:rsid w:val="00744580"/>
    <w:rsid w:val="00747A77"/>
    <w:rsid w:val="00747EB8"/>
    <w:rsid w:val="00750033"/>
    <w:rsid w:val="007501A3"/>
    <w:rsid w:val="00751015"/>
    <w:rsid w:val="00754CC6"/>
    <w:rsid w:val="0075685A"/>
    <w:rsid w:val="00764CCE"/>
    <w:rsid w:val="00770686"/>
    <w:rsid w:val="00774A18"/>
    <w:rsid w:val="00774E68"/>
    <w:rsid w:val="0077538E"/>
    <w:rsid w:val="00781C1D"/>
    <w:rsid w:val="007821A8"/>
    <w:rsid w:val="0078294C"/>
    <w:rsid w:val="00785260"/>
    <w:rsid w:val="007875CA"/>
    <w:rsid w:val="0079582D"/>
    <w:rsid w:val="007A4959"/>
    <w:rsid w:val="007A5566"/>
    <w:rsid w:val="007B22E5"/>
    <w:rsid w:val="007B6E1C"/>
    <w:rsid w:val="007C0FA4"/>
    <w:rsid w:val="007E53BD"/>
    <w:rsid w:val="007F4948"/>
    <w:rsid w:val="007F6FCF"/>
    <w:rsid w:val="007F735D"/>
    <w:rsid w:val="008028BD"/>
    <w:rsid w:val="00804A0B"/>
    <w:rsid w:val="00805C23"/>
    <w:rsid w:val="00805E6B"/>
    <w:rsid w:val="008133BE"/>
    <w:rsid w:val="00821BC9"/>
    <w:rsid w:val="00826202"/>
    <w:rsid w:val="008377CE"/>
    <w:rsid w:val="00846649"/>
    <w:rsid w:val="0085067B"/>
    <w:rsid w:val="00851B27"/>
    <w:rsid w:val="00851DBB"/>
    <w:rsid w:val="00860A36"/>
    <w:rsid w:val="008611D6"/>
    <w:rsid w:val="00863057"/>
    <w:rsid w:val="0087708C"/>
    <w:rsid w:val="0089340B"/>
    <w:rsid w:val="00894283"/>
    <w:rsid w:val="008A19CA"/>
    <w:rsid w:val="008B4F7C"/>
    <w:rsid w:val="008B4FB2"/>
    <w:rsid w:val="008B545E"/>
    <w:rsid w:val="008C068D"/>
    <w:rsid w:val="008F0EAE"/>
    <w:rsid w:val="008F3C57"/>
    <w:rsid w:val="009028CF"/>
    <w:rsid w:val="00904F9A"/>
    <w:rsid w:val="00906436"/>
    <w:rsid w:val="00906D2F"/>
    <w:rsid w:val="00907739"/>
    <w:rsid w:val="0091796E"/>
    <w:rsid w:val="00917B35"/>
    <w:rsid w:val="00923392"/>
    <w:rsid w:val="00960036"/>
    <w:rsid w:val="00960614"/>
    <w:rsid w:val="00962953"/>
    <w:rsid w:val="00983DE9"/>
    <w:rsid w:val="009853D3"/>
    <w:rsid w:val="00990645"/>
    <w:rsid w:val="00990F3B"/>
    <w:rsid w:val="009917BB"/>
    <w:rsid w:val="009964E9"/>
    <w:rsid w:val="0099734E"/>
    <w:rsid w:val="00997619"/>
    <w:rsid w:val="009A4345"/>
    <w:rsid w:val="009A5A01"/>
    <w:rsid w:val="009B13C0"/>
    <w:rsid w:val="009B28BF"/>
    <w:rsid w:val="009C08EA"/>
    <w:rsid w:val="009C1F06"/>
    <w:rsid w:val="009C413D"/>
    <w:rsid w:val="009C489E"/>
    <w:rsid w:val="009C64BF"/>
    <w:rsid w:val="009D1372"/>
    <w:rsid w:val="009F2F79"/>
    <w:rsid w:val="009F37FD"/>
    <w:rsid w:val="00A04EDD"/>
    <w:rsid w:val="00A100CA"/>
    <w:rsid w:val="00A12A44"/>
    <w:rsid w:val="00A14F8E"/>
    <w:rsid w:val="00A21707"/>
    <w:rsid w:val="00A24FB2"/>
    <w:rsid w:val="00A31DB8"/>
    <w:rsid w:val="00A33DC8"/>
    <w:rsid w:val="00A42FDB"/>
    <w:rsid w:val="00A447FD"/>
    <w:rsid w:val="00A47930"/>
    <w:rsid w:val="00A54A53"/>
    <w:rsid w:val="00A565BE"/>
    <w:rsid w:val="00A56964"/>
    <w:rsid w:val="00A57578"/>
    <w:rsid w:val="00A64E58"/>
    <w:rsid w:val="00A65A2C"/>
    <w:rsid w:val="00A83A16"/>
    <w:rsid w:val="00A86289"/>
    <w:rsid w:val="00A9325D"/>
    <w:rsid w:val="00A9594E"/>
    <w:rsid w:val="00AA1472"/>
    <w:rsid w:val="00AA279D"/>
    <w:rsid w:val="00AA5D1C"/>
    <w:rsid w:val="00AC5C9F"/>
    <w:rsid w:val="00AC796F"/>
    <w:rsid w:val="00AD2B02"/>
    <w:rsid w:val="00AD5628"/>
    <w:rsid w:val="00AE3DC6"/>
    <w:rsid w:val="00AE5D54"/>
    <w:rsid w:val="00AF08F7"/>
    <w:rsid w:val="00AF0AD6"/>
    <w:rsid w:val="00AF7013"/>
    <w:rsid w:val="00B12BBD"/>
    <w:rsid w:val="00B2335F"/>
    <w:rsid w:val="00B30AA1"/>
    <w:rsid w:val="00B344BF"/>
    <w:rsid w:val="00B356C3"/>
    <w:rsid w:val="00B43013"/>
    <w:rsid w:val="00B43F4E"/>
    <w:rsid w:val="00B637B2"/>
    <w:rsid w:val="00B67CC1"/>
    <w:rsid w:val="00B72448"/>
    <w:rsid w:val="00B77B78"/>
    <w:rsid w:val="00B8063D"/>
    <w:rsid w:val="00B8732B"/>
    <w:rsid w:val="00B90CB9"/>
    <w:rsid w:val="00B9638F"/>
    <w:rsid w:val="00BA1AE6"/>
    <w:rsid w:val="00BB3903"/>
    <w:rsid w:val="00BC591F"/>
    <w:rsid w:val="00BC713D"/>
    <w:rsid w:val="00BD1059"/>
    <w:rsid w:val="00BD2851"/>
    <w:rsid w:val="00BE17F2"/>
    <w:rsid w:val="00BF53B3"/>
    <w:rsid w:val="00BF5B47"/>
    <w:rsid w:val="00C011FD"/>
    <w:rsid w:val="00C03449"/>
    <w:rsid w:val="00C20052"/>
    <w:rsid w:val="00C21A02"/>
    <w:rsid w:val="00C3215A"/>
    <w:rsid w:val="00C459C9"/>
    <w:rsid w:val="00C47053"/>
    <w:rsid w:val="00C47A69"/>
    <w:rsid w:val="00C63C9B"/>
    <w:rsid w:val="00C67186"/>
    <w:rsid w:val="00C72AE1"/>
    <w:rsid w:val="00C7430B"/>
    <w:rsid w:val="00C83FB0"/>
    <w:rsid w:val="00C84C80"/>
    <w:rsid w:val="00C85647"/>
    <w:rsid w:val="00C856A2"/>
    <w:rsid w:val="00C87F18"/>
    <w:rsid w:val="00C93620"/>
    <w:rsid w:val="00C97847"/>
    <w:rsid w:val="00CA2061"/>
    <w:rsid w:val="00CA65A7"/>
    <w:rsid w:val="00CA7021"/>
    <w:rsid w:val="00CB4F96"/>
    <w:rsid w:val="00CB76DB"/>
    <w:rsid w:val="00CC0499"/>
    <w:rsid w:val="00CD3764"/>
    <w:rsid w:val="00CE1624"/>
    <w:rsid w:val="00CE19C8"/>
    <w:rsid w:val="00CF044A"/>
    <w:rsid w:val="00CF22CD"/>
    <w:rsid w:val="00CF4BB6"/>
    <w:rsid w:val="00CF5FEC"/>
    <w:rsid w:val="00D00D38"/>
    <w:rsid w:val="00D01D0F"/>
    <w:rsid w:val="00D10B02"/>
    <w:rsid w:val="00D12D57"/>
    <w:rsid w:val="00D13742"/>
    <w:rsid w:val="00D25183"/>
    <w:rsid w:val="00D26DE7"/>
    <w:rsid w:val="00D31094"/>
    <w:rsid w:val="00D4000C"/>
    <w:rsid w:val="00D410D3"/>
    <w:rsid w:val="00D431EC"/>
    <w:rsid w:val="00D44ED3"/>
    <w:rsid w:val="00D53687"/>
    <w:rsid w:val="00D636DC"/>
    <w:rsid w:val="00D6482E"/>
    <w:rsid w:val="00D64A9A"/>
    <w:rsid w:val="00D72C83"/>
    <w:rsid w:val="00D80425"/>
    <w:rsid w:val="00D83727"/>
    <w:rsid w:val="00D85AE4"/>
    <w:rsid w:val="00D907EB"/>
    <w:rsid w:val="00D93845"/>
    <w:rsid w:val="00D96F26"/>
    <w:rsid w:val="00DA1AA5"/>
    <w:rsid w:val="00DA2F3D"/>
    <w:rsid w:val="00DB21E0"/>
    <w:rsid w:val="00DB48E8"/>
    <w:rsid w:val="00DB7796"/>
    <w:rsid w:val="00DC1012"/>
    <w:rsid w:val="00DC7C3E"/>
    <w:rsid w:val="00DD0AA0"/>
    <w:rsid w:val="00DD23FA"/>
    <w:rsid w:val="00DD577D"/>
    <w:rsid w:val="00DE00A6"/>
    <w:rsid w:val="00DF5631"/>
    <w:rsid w:val="00E07248"/>
    <w:rsid w:val="00E15290"/>
    <w:rsid w:val="00E17ECA"/>
    <w:rsid w:val="00E27F02"/>
    <w:rsid w:val="00E30A95"/>
    <w:rsid w:val="00E3304B"/>
    <w:rsid w:val="00E33B56"/>
    <w:rsid w:val="00E46AC1"/>
    <w:rsid w:val="00E57E1A"/>
    <w:rsid w:val="00E625CA"/>
    <w:rsid w:val="00E62EB2"/>
    <w:rsid w:val="00E64305"/>
    <w:rsid w:val="00E74DCD"/>
    <w:rsid w:val="00E767CC"/>
    <w:rsid w:val="00E81868"/>
    <w:rsid w:val="00E97440"/>
    <w:rsid w:val="00E97705"/>
    <w:rsid w:val="00E97749"/>
    <w:rsid w:val="00EB545D"/>
    <w:rsid w:val="00EB68DB"/>
    <w:rsid w:val="00EB6CA7"/>
    <w:rsid w:val="00EC1BE5"/>
    <w:rsid w:val="00EC2501"/>
    <w:rsid w:val="00EC65F4"/>
    <w:rsid w:val="00EC7526"/>
    <w:rsid w:val="00ED1B8A"/>
    <w:rsid w:val="00EE008F"/>
    <w:rsid w:val="00EE1405"/>
    <w:rsid w:val="00EE514E"/>
    <w:rsid w:val="00EE5D73"/>
    <w:rsid w:val="00EF52AA"/>
    <w:rsid w:val="00EF5825"/>
    <w:rsid w:val="00EF5FB4"/>
    <w:rsid w:val="00EF6BD5"/>
    <w:rsid w:val="00F114D0"/>
    <w:rsid w:val="00F12819"/>
    <w:rsid w:val="00F22537"/>
    <w:rsid w:val="00F319C3"/>
    <w:rsid w:val="00F4705B"/>
    <w:rsid w:val="00F4739A"/>
    <w:rsid w:val="00F52A15"/>
    <w:rsid w:val="00F54152"/>
    <w:rsid w:val="00F622E1"/>
    <w:rsid w:val="00F64336"/>
    <w:rsid w:val="00F65E84"/>
    <w:rsid w:val="00F67D94"/>
    <w:rsid w:val="00F75E58"/>
    <w:rsid w:val="00F7758E"/>
    <w:rsid w:val="00F85BA0"/>
    <w:rsid w:val="00F97A4E"/>
    <w:rsid w:val="00FA24FB"/>
    <w:rsid w:val="00FA5ED0"/>
    <w:rsid w:val="00FA7045"/>
    <w:rsid w:val="00FB198C"/>
    <w:rsid w:val="00FB2714"/>
    <w:rsid w:val="00FC35FD"/>
    <w:rsid w:val="00FD3A7D"/>
    <w:rsid w:val="00FD4D9F"/>
    <w:rsid w:val="00FE18AB"/>
    <w:rsid w:val="00FE1F46"/>
    <w:rsid w:val="00FE2136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67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377C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377CE"/>
  </w:style>
  <w:style w:type="paragraph" w:styleId="Revision">
    <w:name w:val="Revision"/>
    <w:hidden/>
    <w:uiPriority w:val="99"/>
    <w:semiHidden/>
    <w:rsid w:val="0081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6D7DA-B086-4427-9ECE-BB7C0B794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B23F9-8246-4431-8279-65E935724B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2021-03-23T20:36:00Z</dcterms:created>
  <dcterms:modified xsi:type="dcterms:W3CDTF">2021-03-23T20:36:00Z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