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45B1" w14:textId="4B508283" w:rsidR="00CC5559" w:rsidRDefault="00E451FA" w:rsidP="0078294C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SC</w:t>
      </w:r>
      <w:r w:rsidR="00D654D1">
        <w:rPr>
          <w:rFonts w:ascii="Century Gothic" w:hAnsi="Century Gothic" w:cs="Calibri"/>
          <w:b/>
          <w:bCs/>
          <w:color w:val="7030A0"/>
        </w:rPr>
        <w:t>E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Advice Letter – </w:t>
      </w:r>
      <w:r>
        <w:rPr>
          <w:rFonts w:ascii="Century Gothic" w:hAnsi="Century Gothic" w:cs="Calibri"/>
        </w:rPr>
        <w:t>SCE</w:t>
      </w:r>
      <w:r w:rsidR="00CC5559" w:rsidRPr="00CC5559">
        <w:rPr>
          <w:rFonts w:ascii="Century Gothic" w:hAnsi="Century Gothic" w:cs="Calibri"/>
        </w:rPr>
        <w:t xml:space="preserve"> annually submits its </w:t>
      </w:r>
      <w:r>
        <w:rPr>
          <w:rFonts w:ascii="Century Gothic" w:hAnsi="Century Gothic" w:cs="Calibri"/>
        </w:rPr>
        <w:t>“Consolidated Revenue Requirement and Rate Change”</w:t>
      </w:r>
      <w:r w:rsidR="00CC5559" w:rsidRPr="00CC5559">
        <w:rPr>
          <w:rFonts w:ascii="Century Gothic" w:hAnsi="Century Gothic" w:cs="Calibri"/>
        </w:rPr>
        <w:t xml:space="preserve"> Advice Letter </w:t>
      </w:r>
      <w:r>
        <w:rPr>
          <w:rFonts w:ascii="Century Gothic" w:hAnsi="Century Gothic" w:cs="Calibri"/>
        </w:rPr>
        <w:t xml:space="preserve">to </w:t>
      </w:r>
      <w:r w:rsidR="00CC5559" w:rsidRPr="00CC5559">
        <w:rPr>
          <w:rFonts w:ascii="Century Gothic" w:hAnsi="Century Gothic" w:cs="Calibri"/>
        </w:rPr>
        <w:t>implemen</w:t>
      </w:r>
      <w:r>
        <w:rPr>
          <w:rFonts w:ascii="Century Gothic" w:hAnsi="Century Gothic" w:cs="Calibri"/>
        </w:rPr>
        <w:t>t</w:t>
      </w:r>
      <w:r w:rsidR="00CC5559" w:rsidRPr="00CC5559">
        <w:rPr>
          <w:rFonts w:ascii="Century Gothic" w:hAnsi="Century Gothic" w:cs="Calibri"/>
        </w:rPr>
        <w:t xml:space="preserve"> </w:t>
      </w:r>
      <w:r w:rsidR="009C3CFA">
        <w:rPr>
          <w:rFonts w:ascii="Century Gothic" w:hAnsi="Century Gothic" w:cs="Calibri"/>
        </w:rPr>
        <w:t>new electric rates</w:t>
      </w:r>
      <w:r w:rsidR="00CC5559" w:rsidRPr="00CC5559">
        <w:rPr>
          <w:rFonts w:ascii="Century Gothic" w:hAnsi="Century Gothic" w:cs="Calibri"/>
        </w:rPr>
        <w:t xml:space="preserve"> and their associated tariffs from previously authorized decisions, resolutions, and advice letters. </w:t>
      </w:r>
      <w:r w:rsidR="006817F9">
        <w:rPr>
          <w:rFonts w:ascii="Century Gothic" w:hAnsi="Century Gothic" w:cs="Calibri"/>
        </w:rPr>
        <w:t>SCE submitted its Consolidated advice letter 4377-E</w:t>
      </w:r>
      <w:r w:rsidR="00E52732">
        <w:rPr>
          <w:rFonts w:ascii="Century Gothic" w:hAnsi="Century Gothic" w:cs="Calibri"/>
        </w:rPr>
        <w:t>-A</w:t>
      </w:r>
      <w:r w:rsidR="006817F9">
        <w:rPr>
          <w:rFonts w:ascii="Century Gothic" w:hAnsi="Century Gothic" w:cs="Calibri"/>
        </w:rPr>
        <w:t xml:space="preserve"> on January 11, 2021 which was supplemented by 4377-E-B on January 20</w:t>
      </w:r>
      <w:r w:rsidR="006817F9" w:rsidRPr="006817F9">
        <w:rPr>
          <w:rFonts w:ascii="Century Gothic" w:hAnsi="Century Gothic" w:cs="Calibri"/>
          <w:vertAlign w:val="superscript"/>
        </w:rPr>
        <w:t>th</w:t>
      </w:r>
      <w:r w:rsidR="006817F9">
        <w:rPr>
          <w:rFonts w:ascii="Century Gothic" w:hAnsi="Century Gothic" w:cs="Calibri"/>
        </w:rPr>
        <w:t xml:space="preserve">. </w:t>
      </w:r>
      <w:r w:rsidR="00D431B7" w:rsidRPr="00D431B7">
        <w:rPr>
          <w:rFonts w:ascii="Century Gothic" w:hAnsi="Century Gothic" w:cs="Calibri"/>
        </w:rPr>
        <w:t xml:space="preserve">Collectively, these changes </w:t>
      </w:r>
      <w:r w:rsidR="006837AC">
        <w:rPr>
          <w:rFonts w:ascii="Century Gothic" w:hAnsi="Century Gothic" w:cs="Calibri"/>
        </w:rPr>
        <w:t xml:space="preserve">set forth in AL 4377-E-A/B </w:t>
      </w:r>
      <w:r w:rsidR="00D431B7" w:rsidRPr="00D431B7">
        <w:rPr>
          <w:rFonts w:ascii="Century Gothic" w:hAnsi="Century Gothic" w:cs="Calibri"/>
        </w:rPr>
        <w:t xml:space="preserve">will result in </w:t>
      </w:r>
      <w:r w:rsidR="00F50C4F">
        <w:rPr>
          <w:rFonts w:ascii="Century Gothic" w:hAnsi="Century Gothic" w:cs="Calibri"/>
        </w:rPr>
        <w:t xml:space="preserve">electric </w:t>
      </w:r>
      <w:r w:rsidR="00D431B7" w:rsidRPr="00D431B7">
        <w:rPr>
          <w:rFonts w:ascii="Century Gothic" w:hAnsi="Century Gothic" w:cs="Calibri"/>
        </w:rPr>
        <w:t xml:space="preserve">rate and bill impacts beginning on </w:t>
      </w:r>
      <w:r>
        <w:rPr>
          <w:rFonts w:ascii="Century Gothic" w:hAnsi="Century Gothic" w:cs="Calibri"/>
        </w:rPr>
        <w:t>February</w:t>
      </w:r>
      <w:r w:rsidR="00D431B7" w:rsidRPr="00D431B7">
        <w:rPr>
          <w:rFonts w:ascii="Century Gothic" w:hAnsi="Century Gothic" w:cs="Calibri"/>
        </w:rPr>
        <w:t xml:space="preserve"> 1, 202</w:t>
      </w:r>
      <w:r w:rsidR="006817F9">
        <w:rPr>
          <w:rFonts w:ascii="Century Gothic" w:hAnsi="Century Gothic" w:cs="Calibri"/>
        </w:rPr>
        <w:t>1</w:t>
      </w:r>
      <w:r w:rsidR="001F2387">
        <w:rPr>
          <w:rFonts w:ascii="Century Gothic" w:hAnsi="Century Gothic" w:cs="Calibri"/>
        </w:rPr>
        <w:t>.</w:t>
      </w:r>
    </w:p>
    <w:p w14:paraId="3718751D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40519CE5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15FCE259" w14:textId="2EDE600F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</w:t>
      </w:r>
      <w:r w:rsidR="00194A88">
        <w:rPr>
          <w:rFonts w:ascii="Century Gothic" w:hAnsi="Century Gothic" w:cs="Calibri"/>
          <w:b/>
          <w:bCs/>
          <w:u w:val="single"/>
        </w:rPr>
        <w:t xml:space="preserve">Electric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Rate Changes Effective </w:t>
      </w:r>
      <w:r w:rsidR="00E451FA">
        <w:rPr>
          <w:rFonts w:ascii="Century Gothic" w:hAnsi="Century Gothic" w:cs="Calibri"/>
          <w:b/>
          <w:bCs/>
          <w:u w:val="single"/>
        </w:rPr>
        <w:t>February</w:t>
      </w:r>
      <w:r w:rsidR="00D654D1">
        <w:rPr>
          <w:rFonts w:ascii="Century Gothic" w:hAnsi="Century Gothic" w:cs="Calibri"/>
          <w:b/>
          <w:bCs/>
          <w:u w:val="single"/>
        </w:rPr>
        <w:t xml:space="preserve"> 1, 2021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21842C0D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14:paraId="5C231CF2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669ABFA5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59B6FD5F" w14:textId="1ED76E8B" w:rsidR="002164F7" w:rsidRPr="00960036" w:rsidRDefault="00E451FA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SC</w:t>
            </w:r>
            <w:r w:rsidR="00EA38F3">
              <w:rPr>
                <w:rFonts w:ascii="Century Gothic" w:hAnsi="Century Gothic" w:cs="Calibri"/>
              </w:rPr>
              <w:t>E</w:t>
            </w:r>
            <w:r w:rsidR="00EA38F3" w:rsidRPr="00960036">
              <w:rPr>
                <w:rFonts w:ascii="Century Gothic" w:hAnsi="Century Gothic" w:cs="Calibri"/>
              </w:rPr>
              <w:t xml:space="preserve"> </w:t>
            </w:r>
            <w:r w:rsidR="000327F4">
              <w:rPr>
                <w:rFonts w:ascii="Century Gothic" w:hAnsi="Century Gothic" w:cs="Calibri"/>
              </w:rPr>
              <w:t xml:space="preserve">as of </w:t>
            </w:r>
            <w:r>
              <w:rPr>
                <w:rFonts w:ascii="Century Gothic" w:hAnsi="Century Gothic" w:cs="Calibri"/>
              </w:rPr>
              <w:t>February</w:t>
            </w:r>
            <w:r w:rsidR="000327F4">
              <w:rPr>
                <w:rFonts w:ascii="Century Gothic" w:hAnsi="Century Gothic" w:cs="Calibri"/>
              </w:rPr>
              <w:t xml:space="preserve"> 1, 2021</w:t>
            </w:r>
          </w:p>
        </w:tc>
      </w:tr>
      <w:tr w:rsidR="002164F7" w:rsidRPr="00960036" w14:paraId="40484873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A1A5E48" w14:textId="77777777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709FDF59" w14:textId="60BC72F5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E451FA">
              <w:rPr>
                <w:rFonts w:ascii="Century Gothic" w:hAnsi="Century Gothic" w:cs="Calibri"/>
              </w:rPr>
              <w:t>125.60</w:t>
            </w:r>
          </w:p>
        </w:tc>
      </w:tr>
      <w:tr w:rsidR="00863057" w:rsidRPr="00960036" w14:paraId="53C3FEEF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30104C01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7C408F3D" w14:textId="42A5B000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E451FA">
              <w:rPr>
                <w:rFonts w:ascii="Century Gothic" w:hAnsi="Century Gothic" w:cs="Calibri"/>
              </w:rPr>
              <w:t>10.00</w:t>
            </w:r>
            <w:r>
              <w:rPr>
                <w:rFonts w:ascii="Century Gothic" w:hAnsi="Century Gothic" w:cs="Calibri"/>
              </w:rPr>
              <w:t xml:space="preserve"> (</w:t>
            </w:r>
            <w:r w:rsidR="00E451FA">
              <w:rPr>
                <w:rFonts w:ascii="Century Gothic" w:hAnsi="Century Gothic" w:cs="Calibri"/>
              </w:rPr>
              <w:t>8.6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0401A036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211806B2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31C59569" w14:textId="4B79B22C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E451FA">
              <w:rPr>
                <w:rFonts w:ascii="Century Gothic" w:hAnsi="Century Gothic" w:cs="Calibri"/>
              </w:rPr>
              <w:t>79.90</w:t>
            </w:r>
          </w:p>
        </w:tc>
      </w:tr>
      <w:tr w:rsidR="00863057" w:rsidRPr="00960036" w14:paraId="783F70E1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D6BDA89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944" w:type="dxa"/>
          </w:tcPr>
          <w:p w14:paraId="3DAB85F9" w14:textId="6646175F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E451FA">
              <w:rPr>
                <w:rFonts w:ascii="Century Gothic" w:hAnsi="Century Gothic" w:cs="Calibri"/>
              </w:rPr>
              <w:t>7.20</w:t>
            </w:r>
            <w:r>
              <w:rPr>
                <w:rFonts w:ascii="Century Gothic" w:hAnsi="Century Gothic" w:cs="Calibri"/>
              </w:rPr>
              <w:t xml:space="preserve"> (</w:t>
            </w:r>
            <w:r w:rsidR="00E451FA">
              <w:rPr>
                <w:rFonts w:ascii="Century Gothic" w:hAnsi="Century Gothic" w:cs="Calibri"/>
              </w:rPr>
              <w:t>10.0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34DA5642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372BF8D2" w14:textId="2683ADA1" w:rsidR="00CB4F96" w:rsidRPr="00960036" w:rsidRDefault="00C72375" w:rsidP="00CB4F96">
      <w:pPr>
        <w:ind w:firstLine="0"/>
        <w:rPr>
          <w:rFonts w:ascii="Century Gothic" w:hAnsi="Century Gothic" w:cs="Calibri"/>
        </w:rPr>
      </w:pPr>
      <w:r w:rsidRPr="00960036">
        <w:rPr>
          <w:rFonts w:ascii="Century Gothic" w:hAnsi="Century Gothic" w:cs="Calibri"/>
        </w:rPr>
        <w:t xml:space="preserve">Below are the </w:t>
      </w:r>
      <w:r>
        <w:rPr>
          <w:rFonts w:ascii="Century Gothic" w:hAnsi="Century Gothic" w:cs="Calibri"/>
        </w:rPr>
        <w:t xml:space="preserve">primary drivers of SCE’s February 1, 2021 </w:t>
      </w:r>
      <w:r w:rsidRPr="00960036">
        <w:rPr>
          <w:rFonts w:ascii="Century Gothic" w:hAnsi="Century Gothic" w:cs="Calibri"/>
        </w:rPr>
        <w:t>electric rate change</w:t>
      </w:r>
      <w:r>
        <w:rPr>
          <w:rFonts w:ascii="Century Gothic" w:hAnsi="Century Gothic" w:cs="Calibri"/>
        </w:rPr>
        <w:t xml:space="preserve">s, which involve an </w:t>
      </w:r>
      <w:r w:rsidRPr="00023A36">
        <w:rPr>
          <w:rFonts w:ascii="Century Gothic" w:hAnsi="Century Gothic" w:cs="Calibri"/>
        </w:rPr>
        <w:t>increase of $</w:t>
      </w:r>
      <w:r w:rsidR="00326C15" w:rsidRPr="00023A36">
        <w:rPr>
          <w:rFonts w:ascii="Century Gothic" w:hAnsi="Century Gothic" w:cs="Calibri"/>
        </w:rPr>
        <w:t>269.1</w:t>
      </w:r>
      <w:r w:rsidRPr="00023A36">
        <w:rPr>
          <w:rFonts w:ascii="Century Gothic" w:hAnsi="Century Gothic" w:cs="Calibri"/>
        </w:rPr>
        <w:t xml:space="preserve"> million in</w:t>
      </w:r>
      <w:r>
        <w:rPr>
          <w:rFonts w:ascii="Century Gothic" w:hAnsi="Century Gothic" w:cs="Calibri"/>
        </w:rPr>
        <w:t xml:space="preserve"> the revenues the company needs for its electric utility operations and capital investments</w:t>
      </w:r>
      <w:r w:rsidR="00025477">
        <w:rPr>
          <w:rFonts w:ascii="Century Gothic" w:hAnsi="Century Gothic" w:cs="Calibri"/>
        </w:rPr>
        <w:t>.</w:t>
      </w:r>
      <w:r w:rsidR="00173FD2">
        <w:rPr>
          <w:rFonts w:ascii="Century Gothic" w:hAnsi="Century Gothic" w:cs="Calibri"/>
        </w:rPr>
        <w:t xml:space="preserve"> This rate</w:t>
      </w:r>
      <w:r w:rsidR="00E56657">
        <w:rPr>
          <w:rFonts w:ascii="Century Gothic" w:hAnsi="Century Gothic" w:cs="Calibri"/>
        </w:rPr>
        <w:t>/bill</w:t>
      </w:r>
      <w:r w:rsidR="00173FD2">
        <w:rPr>
          <w:rFonts w:ascii="Century Gothic" w:hAnsi="Century Gothic" w:cs="Calibri"/>
        </w:rPr>
        <w:t xml:space="preserve"> increase is attributable to the Energy Resource Recovery Account (ERRA) rate adjustments (47%), regulatory account</w:t>
      </w:r>
      <w:r w:rsidR="00896969">
        <w:rPr>
          <w:rFonts w:ascii="Century Gothic" w:hAnsi="Century Gothic" w:cs="Calibri"/>
        </w:rPr>
        <w:t xml:space="preserve"> adjustment</w:t>
      </w:r>
      <w:r w:rsidR="00173FD2">
        <w:rPr>
          <w:rFonts w:ascii="Century Gothic" w:hAnsi="Century Gothic" w:cs="Calibri"/>
        </w:rPr>
        <w:t>s (46%), and Federal Energy Regulatory Commission (FERC) transmission rates (7%).</w:t>
      </w:r>
      <w:r w:rsidR="00025477">
        <w:rPr>
          <w:rFonts w:ascii="Century Gothic" w:hAnsi="Century Gothic" w:cs="Calibri"/>
        </w:rPr>
        <w:t xml:space="preserve"> Dollar amounts shown below represent the increase or decrease in revenue collected from customers in </w:t>
      </w:r>
      <w:proofErr w:type="gramStart"/>
      <w:r w:rsidR="00025477">
        <w:rPr>
          <w:rFonts w:ascii="Century Gothic" w:hAnsi="Century Gothic" w:cs="Calibri"/>
        </w:rPr>
        <w:t>rates;</w:t>
      </w:r>
      <w:proofErr w:type="gramEnd"/>
      <w:r w:rsidR="00025477">
        <w:rPr>
          <w:rFonts w:ascii="Century Gothic" w:hAnsi="Century Gothic" w:cs="Calibri"/>
        </w:rPr>
        <w:t xml:space="preserve"> </w:t>
      </w:r>
      <w:r w:rsidR="00025477">
        <w:rPr>
          <w:rFonts w:ascii="Century Gothic" w:hAnsi="Century Gothic" w:cs="Calibri"/>
          <w:i/>
          <w:iCs/>
        </w:rPr>
        <w:t xml:space="preserve">not </w:t>
      </w:r>
      <w:r w:rsidR="00025477">
        <w:rPr>
          <w:rFonts w:ascii="Century Gothic" w:hAnsi="Century Gothic" w:cs="Calibri"/>
        </w:rPr>
        <w:t>total program costs</w:t>
      </w:r>
      <w:r>
        <w:rPr>
          <w:rFonts w:ascii="Century Gothic" w:hAnsi="Century Gothic" w:cs="Calibri"/>
        </w:rPr>
        <w:t>:</w:t>
      </w:r>
    </w:p>
    <w:p w14:paraId="700F697A" w14:textId="1848AA3F" w:rsidR="00664C8E" w:rsidRDefault="00E3467E" w:rsidP="009C3CFA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The primary drivers of the </w:t>
      </w:r>
      <w:r w:rsidR="00326C15">
        <w:rPr>
          <w:rFonts w:ascii="Century Gothic" w:hAnsi="Century Gothic" w:cs="Calibri"/>
        </w:rPr>
        <w:t>February</w:t>
      </w:r>
      <w:r>
        <w:rPr>
          <w:rFonts w:ascii="Century Gothic" w:hAnsi="Century Gothic" w:cs="Calibri"/>
        </w:rPr>
        <w:t xml:space="preserve"> 1</w:t>
      </w:r>
      <w:r w:rsidRPr="00E3467E"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rate </w:t>
      </w:r>
      <w:r w:rsidR="00AF56A6">
        <w:rPr>
          <w:rFonts w:ascii="Century Gothic" w:hAnsi="Century Gothic" w:cs="Calibri"/>
        </w:rPr>
        <w:t xml:space="preserve">increase </w:t>
      </w:r>
      <w:r>
        <w:rPr>
          <w:rFonts w:ascii="Century Gothic" w:hAnsi="Century Gothic" w:cs="Calibri"/>
        </w:rPr>
        <w:t>are:</w:t>
      </w:r>
    </w:p>
    <w:p w14:paraId="225A6DE4" w14:textId="72CFB90A" w:rsidR="008D689E" w:rsidRDefault="002F6940" w:rsidP="0011533B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ERRA </w:t>
      </w:r>
      <w:r w:rsidR="00D92D2C">
        <w:rPr>
          <w:rFonts w:ascii="Century Gothic" w:hAnsi="Century Gothic" w:cs="Calibri"/>
        </w:rPr>
        <w:t xml:space="preserve">revenue </w:t>
      </w:r>
      <w:r>
        <w:rPr>
          <w:rFonts w:ascii="Century Gothic" w:hAnsi="Century Gothic" w:cs="Calibri"/>
        </w:rPr>
        <w:t>adjustment</w:t>
      </w:r>
      <w:r w:rsidR="00D92D2C">
        <w:rPr>
          <w:rFonts w:ascii="Century Gothic" w:hAnsi="Century Gothic" w:cs="Calibri"/>
        </w:rPr>
        <w:t xml:space="preserve"> due to</w:t>
      </w:r>
      <w:r w:rsidR="00600EF0">
        <w:rPr>
          <w:rFonts w:ascii="Century Gothic" w:hAnsi="Century Gothic" w:cs="Calibri"/>
        </w:rPr>
        <w:t xml:space="preserve"> changes in the cost to SCE </w:t>
      </w:r>
      <w:r>
        <w:rPr>
          <w:rFonts w:ascii="Century Gothic" w:hAnsi="Century Gothic" w:cs="Calibri"/>
        </w:rPr>
        <w:t>for fuel and purchased power costs and PCIA rate changes (D.) 20-12-035</w:t>
      </w:r>
      <w:r w:rsidR="00A13F4C">
        <w:rPr>
          <w:rFonts w:ascii="Century Gothic" w:hAnsi="Century Gothic" w:cs="Calibri"/>
        </w:rPr>
        <w:t xml:space="preserve"> </w:t>
      </w:r>
    </w:p>
    <w:p w14:paraId="2454C794" w14:textId="137EFBA2" w:rsidR="00D75EA1" w:rsidRPr="00D92D2C" w:rsidRDefault="00600EF0" w:rsidP="00D92D2C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SCE continues to see a departure in load to CCAs; this results in SCE </w:t>
      </w:r>
      <w:r w:rsidR="00B06589">
        <w:rPr>
          <w:rFonts w:ascii="Century Gothic" w:hAnsi="Century Gothic" w:cs="Calibri"/>
        </w:rPr>
        <w:t>procuring</w:t>
      </w:r>
      <w:r>
        <w:rPr>
          <w:rFonts w:ascii="Century Gothic" w:hAnsi="Century Gothic" w:cs="Calibri"/>
        </w:rPr>
        <w:t xml:space="preserve"> less fuel and power </w:t>
      </w:r>
      <w:r w:rsidR="00D92D2C">
        <w:rPr>
          <w:rFonts w:ascii="Century Gothic" w:hAnsi="Century Gothic" w:cs="Calibri"/>
        </w:rPr>
        <w:t xml:space="preserve">and a decrease in these costs. Additionally, SCE has seen a substantial increase in CARE customers. </w:t>
      </w:r>
      <w:r w:rsidR="00D92D2C" w:rsidRPr="00D92D2C">
        <w:rPr>
          <w:rFonts w:ascii="Century Gothic" w:hAnsi="Century Gothic" w:cs="Calibri"/>
        </w:rPr>
        <w:t xml:space="preserve">The combination of fewer total customers and a higher percentage of remaining customers paying CARE rates results in increased 2021 rates/bills despite the decrease in </w:t>
      </w:r>
      <w:r w:rsidR="00D92D2C">
        <w:rPr>
          <w:rFonts w:ascii="Century Gothic" w:hAnsi="Century Gothic" w:cs="Calibri"/>
        </w:rPr>
        <w:t>these</w:t>
      </w:r>
      <w:r w:rsidR="00D92D2C" w:rsidRPr="00D92D2C">
        <w:rPr>
          <w:rFonts w:ascii="Century Gothic" w:hAnsi="Century Gothic" w:cs="Calibri"/>
        </w:rPr>
        <w:t xml:space="preserve"> costs of $242.6M. </w:t>
      </w:r>
    </w:p>
    <w:p w14:paraId="5DA5BF6F" w14:textId="77777777" w:rsidR="00F27C93" w:rsidRPr="00433B14" w:rsidRDefault="00F27C93" w:rsidP="00AC13ED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 w:rsidRPr="00433B14">
        <w:rPr>
          <w:rFonts w:ascii="Century Gothic" w:hAnsi="Century Gothic" w:cs="Calibri"/>
        </w:rPr>
        <w:t xml:space="preserve">Adjustments to regulatory accounts “Balancing accounts” </w:t>
      </w:r>
    </w:p>
    <w:p w14:paraId="4F2A3BAF" w14:textId="12ADE8E9" w:rsidR="002F6940" w:rsidRPr="00FE0115" w:rsidRDefault="00600EF0" w:rsidP="00AC13ED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The </w:t>
      </w:r>
      <w:r w:rsidR="00F27C93">
        <w:rPr>
          <w:rFonts w:ascii="Century Gothic" w:hAnsi="Century Gothic" w:cs="Calibri"/>
        </w:rPr>
        <w:t xml:space="preserve">Base Revenue Requirement Balancing Account </w:t>
      </w:r>
      <w:r>
        <w:rPr>
          <w:rFonts w:ascii="Century Gothic" w:hAnsi="Century Gothic" w:cs="Calibri"/>
        </w:rPr>
        <w:t>tracks</w:t>
      </w:r>
      <w:r w:rsidRPr="00715879">
        <w:rPr>
          <w:rFonts w:ascii="Century Gothic" w:hAnsi="Century Gothic" w:cs="Calibri"/>
        </w:rPr>
        <w:t xml:space="preserve"> </w:t>
      </w:r>
      <w:r w:rsidR="006A6DD1" w:rsidRPr="00715879">
        <w:rPr>
          <w:rFonts w:ascii="Century Gothic" w:hAnsi="Century Gothic" w:cs="Calibri"/>
        </w:rPr>
        <w:t xml:space="preserve">the difference between how much SCE was authorized to spend on </w:t>
      </w:r>
      <w:r w:rsidR="006A6DD1" w:rsidRPr="00715879">
        <w:rPr>
          <w:rFonts w:ascii="Century Gothic" w:hAnsi="Century Gothic" w:cs="Calibri"/>
        </w:rPr>
        <w:lastRenderedPageBreak/>
        <w:t xml:space="preserve">providing electric service in </w:t>
      </w:r>
      <w:r>
        <w:rPr>
          <w:rFonts w:ascii="Century Gothic" w:hAnsi="Century Gothic" w:cs="Calibri"/>
        </w:rPr>
        <w:t>2020</w:t>
      </w:r>
      <w:r w:rsidRPr="00FE0115">
        <w:rPr>
          <w:rFonts w:ascii="Century Gothic" w:hAnsi="Century Gothic" w:cs="Calibri"/>
        </w:rPr>
        <w:t xml:space="preserve"> </w:t>
      </w:r>
      <w:r w:rsidR="006A6DD1" w:rsidRPr="00FE0115">
        <w:rPr>
          <w:rFonts w:ascii="Century Gothic" w:hAnsi="Century Gothic" w:cs="Calibri"/>
        </w:rPr>
        <w:t xml:space="preserve">and how much </w:t>
      </w:r>
      <w:r>
        <w:rPr>
          <w:rFonts w:ascii="Century Gothic" w:hAnsi="Century Gothic" w:cs="Calibri"/>
        </w:rPr>
        <w:t>SCE</w:t>
      </w:r>
      <w:r w:rsidRPr="00FE0115">
        <w:rPr>
          <w:rFonts w:ascii="Century Gothic" w:hAnsi="Century Gothic" w:cs="Calibri"/>
        </w:rPr>
        <w:t xml:space="preserve"> </w:t>
      </w:r>
      <w:r w:rsidR="006A6DD1" w:rsidRPr="00FE0115">
        <w:rPr>
          <w:rFonts w:ascii="Century Gothic" w:hAnsi="Century Gothic" w:cs="Calibri"/>
        </w:rPr>
        <w:t>collected for that service in rates from customers. The difference between those amounts is</w:t>
      </w:r>
      <w:r>
        <w:rPr>
          <w:rFonts w:ascii="Century Gothic" w:hAnsi="Century Gothic" w:cs="Calibri"/>
        </w:rPr>
        <w:t xml:space="preserve"> ”trued up</w:t>
      </w:r>
      <w:r w:rsidR="00205E15">
        <w:rPr>
          <w:rFonts w:ascii="Century Gothic" w:hAnsi="Century Gothic" w:cs="Calibri"/>
        </w:rPr>
        <w:t xml:space="preserve">” </w:t>
      </w:r>
      <w:r>
        <w:rPr>
          <w:rFonts w:ascii="Century Gothic" w:hAnsi="Century Gothic" w:cs="Calibri"/>
        </w:rPr>
        <w:t xml:space="preserve">in 2021 </w:t>
      </w:r>
      <w:r w:rsidR="006A6DD1" w:rsidRPr="00715879">
        <w:rPr>
          <w:rFonts w:ascii="Century Gothic" w:hAnsi="Century Gothic" w:cs="Calibri"/>
        </w:rPr>
        <w:t>in customers’ electric rates</w:t>
      </w:r>
      <w:r w:rsidR="00A301CD" w:rsidRPr="00715879">
        <w:rPr>
          <w:rFonts w:ascii="Century Gothic" w:hAnsi="Century Gothic" w:cs="Calibri"/>
        </w:rPr>
        <w:t>.</w:t>
      </w:r>
      <w:r>
        <w:rPr>
          <w:rFonts w:ascii="Century Gothic" w:hAnsi="Century Gothic" w:cs="Calibri"/>
        </w:rPr>
        <w:t xml:space="preserve"> Due to decreased demand for electricity in 2020</w:t>
      </w:r>
      <w:r w:rsidR="00AF56A6">
        <w:rPr>
          <w:rFonts w:ascii="Century Gothic" w:hAnsi="Century Gothic" w:cs="Calibri"/>
        </w:rPr>
        <w:t>,</w:t>
      </w:r>
      <w:r>
        <w:rPr>
          <w:rFonts w:ascii="Century Gothic" w:hAnsi="Century Gothic" w:cs="Calibri"/>
        </w:rPr>
        <w:t xml:space="preserve"> SCE under collected $497.4 million in 2020. </w:t>
      </w:r>
      <w:r w:rsidR="008B3496">
        <w:rPr>
          <w:rFonts w:ascii="Century Gothic" w:hAnsi="Century Gothic" w:cs="Calibri"/>
        </w:rPr>
        <w:t>($497.4M)</w:t>
      </w:r>
    </w:p>
    <w:p w14:paraId="22161913" w14:textId="74CE1A41" w:rsidR="00F27C93" w:rsidRDefault="00F27C93" w:rsidP="00AC13ED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CARE </w:t>
      </w:r>
      <w:r w:rsidR="00AF56A6">
        <w:rPr>
          <w:rFonts w:ascii="Century Gothic" w:hAnsi="Century Gothic" w:cs="Calibri"/>
        </w:rPr>
        <w:t xml:space="preserve"> increases to </w:t>
      </w:r>
      <w:r w:rsidR="0012102F">
        <w:rPr>
          <w:rFonts w:ascii="Century Gothic" w:hAnsi="Century Gothic" w:cs="Calibri"/>
        </w:rPr>
        <w:t>reflect the costs associated with operating the CARE program</w:t>
      </w:r>
      <w:r w:rsidR="00AF56A6">
        <w:rPr>
          <w:rFonts w:ascii="Century Gothic" w:hAnsi="Century Gothic" w:cs="Calibri"/>
        </w:rPr>
        <w:t>. ($121.6M)</w:t>
      </w:r>
    </w:p>
    <w:p w14:paraId="21BFA5EA" w14:textId="6EFFBFDE" w:rsidR="00E32A59" w:rsidRDefault="00C06B83" w:rsidP="00AC13ED">
      <w:pPr>
        <w:pStyle w:val="ListParagraph"/>
        <w:numPr>
          <w:ilvl w:val="2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The </w:t>
      </w:r>
      <w:r w:rsidR="00E32A59">
        <w:rPr>
          <w:rFonts w:ascii="Century Gothic" w:hAnsi="Century Gothic" w:cs="Calibri"/>
        </w:rPr>
        <w:t xml:space="preserve">Public Purpose Programs Adjustment Mechanism </w:t>
      </w:r>
      <w:r w:rsidR="006C7CCA">
        <w:rPr>
          <w:rFonts w:ascii="Century Gothic" w:hAnsi="Century Gothic" w:cs="Calibri"/>
        </w:rPr>
        <w:t>tracks the difference between revenue collected for Public Purpose Programs such as energy efficiency, EPIC, and ESAP, and expenses</w:t>
      </w:r>
      <w:r w:rsidR="00AF56A6">
        <w:rPr>
          <w:rFonts w:ascii="Century Gothic" w:hAnsi="Century Gothic" w:cs="Calibri"/>
        </w:rPr>
        <w:t xml:space="preserve">. SCE under collected in this account </w:t>
      </w:r>
      <w:r w:rsidR="00F26A84">
        <w:rPr>
          <w:rFonts w:ascii="Century Gothic" w:hAnsi="Century Gothic" w:cs="Calibri"/>
        </w:rPr>
        <w:t xml:space="preserve">in 2020 </w:t>
      </w:r>
      <w:r w:rsidR="00AF56A6">
        <w:rPr>
          <w:rFonts w:ascii="Century Gothic" w:hAnsi="Century Gothic" w:cs="Calibri"/>
        </w:rPr>
        <w:t xml:space="preserve">and must </w:t>
      </w:r>
      <w:r w:rsidR="006C73E5">
        <w:rPr>
          <w:rFonts w:ascii="Century Gothic" w:hAnsi="Century Gothic" w:cs="Calibri"/>
        </w:rPr>
        <w:t xml:space="preserve">collect </w:t>
      </w:r>
      <w:r w:rsidR="00211E52">
        <w:rPr>
          <w:rFonts w:ascii="Century Gothic" w:hAnsi="Century Gothic" w:cs="Calibri"/>
        </w:rPr>
        <w:t>$50.6 million</w:t>
      </w:r>
      <w:r w:rsidR="00AF56A6">
        <w:rPr>
          <w:rFonts w:ascii="Century Gothic" w:hAnsi="Century Gothic" w:cs="Calibri"/>
        </w:rPr>
        <w:t xml:space="preserve"> in 2021. </w:t>
      </w:r>
      <w:r w:rsidR="00AF56A6" w:rsidRPr="00AF56A6">
        <w:rPr>
          <w:rFonts w:ascii="Century Gothic" w:hAnsi="Century Gothic" w:cs="Calibri"/>
        </w:rPr>
        <w:t xml:space="preserve"> </w:t>
      </w:r>
      <w:r w:rsidR="00AF56A6">
        <w:rPr>
          <w:rFonts w:ascii="Century Gothic" w:hAnsi="Century Gothic" w:cs="Calibri"/>
        </w:rPr>
        <w:t>($50.6M)</w:t>
      </w:r>
    </w:p>
    <w:p w14:paraId="08C70E51" w14:textId="1CBCD3FC" w:rsidR="00E3467E" w:rsidRPr="00113741" w:rsidRDefault="00E32A59" w:rsidP="0011533B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FERC transmission rate increases ($123.8M)</w:t>
      </w:r>
    </w:p>
    <w:p w14:paraId="577CF6DE" w14:textId="71272CE6" w:rsidR="00E3467E" w:rsidRDefault="00AF56A6" w:rsidP="00E3467E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In addition to the increases noted above, several additional categories of revenue and rate adjustments reduce costs by $253.8 million</w:t>
      </w:r>
      <w:r w:rsidR="00FF2812">
        <w:rPr>
          <w:rFonts w:ascii="Century Gothic" w:hAnsi="Century Gothic" w:cs="Calibri"/>
        </w:rPr>
        <w:t xml:space="preserve"> and reduce rates/bills by 1.1%</w:t>
      </w:r>
      <w:r>
        <w:rPr>
          <w:rFonts w:ascii="Century Gothic" w:hAnsi="Century Gothic" w:cs="Calibri"/>
        </w:rPr>
        <w:t xml:space="preserve">. The following specific items mitigate the increases described above:  </w:t>
      </w:r>
    </w:p>
    <w:p w14:paraId="4FBF1CB4" w14:textId="69EEF6C9" w:rsidR="00400566" w:rsidRDefault="00400566" w:rsidP="0040056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Wildfire Fund Charge (D.20-</w:t>
      </w:r>
      <w:r w:rsidR="003E350D">
        <w:rPr>
          <w:rFonts w:ascii="Century Gothic" w:hAnsi="Century Gothic" w:cs="Calibri"/>
        </w:rPr>
        <w:t>12-024</w:t>
      </w:r>
      <w:r>
        <w:rPr>
          <w:rFonts w:ascii="Century Gothic" w:hAnsi="Century Gothic" w:cs="Calibri"/>
        </w:rPr>
        <w:t>)</w:t>
      </w:r>
      <w:r w:rsidR="00194A88">
        <w:rPr>
          <w:rFonts w:ascii="Century Gothic" w:hAnsi="Century Gothic" w:cs="Calibri"/>
        </w:rPr>
        <w:t xml:space="preserve"> </w:t>
      </w:r>
      <w:r w:rsidR="00FB6041">
        <w:rPr>
          <w:rFonts w:ascii="Century Gothic" w:hAnsi="Century Gothic" w:cs="Calibri"/>
        </w:rPr>
        <w:t>(-$34.9M)</w:t>
      </w:r>
    </w:p>
    <w:p w14:paraId="2DF9DB5A" w14:textId="0F5EEBB2" w:rsidR="00113741" w:rsidRDefault="00E62C26" w:rsidP="00113741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Efficiency Savings and Performance </w:t>
      </w:r>
      <w:r w:rsidR="00444D71">
        <w:rPr>
          <w:rFonts w:ascii="Century Gothic" w:hAnsi="Century Gothic" w:cs="Calibri"/>
        </w:rPr>
        <w:t xml:space="preserve">&amp; CARE Administrative Program </w:t>
      </w:r>
      <w:r w:rsidR="00FB6041">
        <w:rPr>
          <w:rFonts w:ascii="Century Gothic" w:hAnsi="Century Gothic" w:cs="Calibri"/>
        </w:rPr>
        <w:t xml:space="preserve">             </w:t>
      </w:r>
      <w:r>
        <w:rPr>
          <w:rFonts w:ascii="Century Gothic" w:hAnsi="Century Gothic" w:cs="Calibri"/>
        </w:rPr>
        <w:t>(AL 4</w:t>
      </w:r>
      <w:r w:rsidR="00444D71">
        <w:rPr>
          <w:rFonts w:ascii="Century Gothic" w:hAnsi="Century Gothic" w:cs="Calibri"/>
        </w:rPr>
        <w:t>053-E-A/AL 3824-E-A/Resolution E-4885</w:t>
      </w:r>
      <w:r>
        <w:rPr>
          <w:rFonts w:ascii="Century Gothic" w:hAnsi="Century Gothic" w:cs="Calibri"/>
        </w:rPr>
        <w:t>)</w:t>
      </w:r>
      <w:r w:rsidR="008B3496" w:rsidRPr="008B3496">
        <w:rPr>
          <w:rFonts w:ascii="Century Gothic" w:hAnsi="Century Gothic" w:cs="Calibri"/>
        </w:rPr>
        <w:t xml:space="preserve"> </w:t>
      </w:r>
      <w:r w:rsidR="008B3496">
        <w:rPr>
          <w:rFonts w:ascii="Century Gothic" w:hAnsi="Century Gothic" w:cs="Calibri"/>
        </w:rPr>
        <w:t>(-$65.8M)</w:t>
      </w:r>
    </w:p>
    <w:p w14:paraId="340F1AF0" w14:textId="30E89536" w:rsidR="00FD2CED" w:rsidRDefault="00FD2CED" w:rsidP="00113741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2018 ERRA Compliance (D.20-05-004)</w:t>
      </w:r>
      <w:r w:rsidR="008B3496" w:rsidRPr="008B3496">
        <w:rPr>
          <w:rFonts w:ascii="Century Gothic" w:hAnsi="Century Gothic" w:cs="Calibri"/>
        </w:rPr>
        <w:t xml:space="preserve"> </w:t>
      </w:r>
      <w:r w:rsidR="008B3496">
        <w:rPr>
          <w:rFonts w:ascii="Century Gothic" w:hAnsi="Century Gothic" w:cs="Calibri"/>
        </w:rPr>
        <w:t>(-$22.2M)</w:t>
      </w:r>
    </w:p>
    <w:p w14:paraId="23F9D465" w14:textId="12E6B6F5" w:rsidR="00FD2CED" w:rsidRDefault="00FD2CED" w:rsidP="00113741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Annual General Rate Case balancing account adjustments approved in D.19-05-020</w:t>
      </w:r>
      <w:r w:rsidR="00FB6041">
        <w:rPr>
          <w:rFonts w:ascii="Century Gothic" w:hAnsi="Century Gothic" w:cs="Calibri"/>
        </w:rPr>
        <w:t xml:space="preserve"> (-$24.7M)</w:t>
      </w:r>
    </w:p>
    <w:p w14:paraId="0CB91C50" w14:textId="5D2AC6FA" w:rsidR="004F0663" w:rsidRDefault="004F0663" w:rsidP="00113741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Demand Response programs</w:t>
      </w:r>
      <w:r w:rsidR="00DD7373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(D.17-12-003)</w:t>
      </w:r>
      <w:r w:rsidR="008B3496" w:rsidRPr="008B3496">
        <w:rPr>
          <w:rFonts w:ascii="Century Gothic" w:hAnsi="Century Gothic" w:cs="Calibri"/>
        </w:rPr>
        <w:t xml:space="preserve"> </w:t>
      </w:r>
      <w:r w:rsidR="008B3496">
        <w:rPr>
          <w:rFonts w:ascii="Century Gothic" w:hAnsi="Century Gothic" w:cs="Calibri"/>
        </w:rPr>
        <w:t>(-$23.0M)</w:t>
      </w:r>
    </w:p>
    <w:p w14:paraId="7A2E50BB" w14:textId="77777777" w:rsidR="008B3496" w:rsidRDefault="00BB2F63" w:rsidP="008B349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Electric Program Investment Charge (EPIC) funding for 2021 (AL 4300-E)</w:t>
      </w:r>
    </w:p>
    <w:p w14:paraId="33517796" w14:textId="2FD42F7B" w:rsidR="00BB2F63" w:rsidRPr="008B3496" w:rsidRDefault="008B3496" w:rsidP="008B3496">
      <w:pPr>
        <w:pStyle w:val="ListParagraph"/>
        <w:spacing w:before="140"/>
        <w:ind w:left="1800" w:firstLine="0"/>
        <w:rPr>
          <w:rFonts w:ascii="Century Gothic" w:hAnsi="Century Gothic" w:cs="Calibri"/>
        </w:rPr>
      </w:pPr>
      <w:r w:rsidRPr="008B3496">
        <w:rPr>
          <w:rFonts w:ascii="Century Gothic" w:hAnsi="Century Gothic" w:cs="Calibri"/>
        </w:rPr>
        <w:t xml:space="preserve">(-$15.4M)         </w:t>
      </w:r>
    </w:p>
    <w:sectPr w:rsidR="00BB2F63" w:rsidRPr="008B3496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174F0" w14:textId="77777777" w:rsidR="007B693A" w:rsidRDefault="007B693A">
      <w:r>
        <w:separator/>
      </w:r>
    </w:p>
    <w:p w14:paraId="1D202176" w14:textId="77777777" w:rsidR="007B693A" w:rsidRDefault="007B693A"/>
  </w:endnote>
  <w:endnote w:type="continuationSeparator" w:id="0">
    <w:p w14:paraId="30266389" w14:textId="77777777" w:rsidR="007B693A" w:rsidRDefault="007B693A">
      <w:r>
        <w:continuationSeparator/>
      </w:r>
    </w:p>
    <w:p w14:paraId="4BC54520" w14:textId="77777777" w:rsidR="007B693A" w:rsidRDefault="007B6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0A8212" w14:textId="77777777" w:rsidR="00A42FDB" w:rsidRDefault="00D92D2C" w:rsidP="00AA5D1C">
        <w:pPr>
          <w:pStyle w:val="Footer"/>
          <w:rPr>
            <w:rStyle w:val="PageNumber"/>
          </w:rPr>
        </w:pPr>
      </w:p>
    </w:sdtContent>
  </w:sdt>
  <w:p w14:paraId="2F2CD8F6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A60CA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6B2FFFAB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CB80066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19F43A33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7D014" w14:textId="77777777" w:rsidR="007B693A" w:rsidRDefault="007B693A">
      <w:r>
        <w:separator/>
      </w:r>
    </w:p>
    <w:p w14:paraId="2DB65121" w14:textId="77777777" w:rsidR="007B693A" w:rsidRDefault="007B693A"/>
  </w:footnote>
  <w:footnote w:type="continuationSeparator" w:id="0">
    <w:p w14:paraId="7FC6A50F" w14:textId="77777777" w:rsidR="007B693A" w:rsidRDefault="007B693A">
      <w:r>
        <w:continuationSeparator/>
      </w:r>
    </w:p>
    <w:p w14:paraId="02B7203F" w14:textId="77777777" w:rsidR="007B693A" w:rsidRDefault="007B693A"/>
  </w:footnote>
  <w:footnote w:id="1">
    <w:p w14:paraId="2493188E" w14:textId="77777777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 xml:space="preserve">” residential </w:t>
      </w:r>
      <w:r w:rsidR="00861CBE">
        <w:rPr>
          <w:rFonts w:ascii="Century Gothic" w:hAnsi="Century Gothic"/>
          <w:sz w:val="22"/>
          <w:szCs w:val="22"/>
        </w:rPr>
        <w:t xml:space="preserve">bundled </w:t>
      </w:r>
      <w:r w:rsidR="00354A4E" w:rsidRPr="00960036">
        <w:rPr>
          <w:rFonts w:ascii="Century Gothic" w:hAnsi="Century Gothic"/>
          <w:sz w:val="22"/>
          <w:szCs w:val="22"/>
        </w:rPr>
        <w:t xml:space="preserve">customer using, on average, </w:t>
      </w:r>
      <w:r w:rsidR="004E1EB7">
        <w:rPr>
          <w:rFonts w:ascii="Century Gothic" w:hAnsi="Century Gothic"/>
          <w:sz w:val="22"/>
          <w:szCs w:val="22"/>
        </w:rPr>
        <w:t>500</w:t>
      </w:r>
      <w:r w:rsidRPr="00960036">
        <w:rPr>
          <w:rFonts w:ascii="Century Gothic" w:hAnsi="Century Gothic"/>
          <w:sz w:val="22"/>
          <w:szCs w:val="22"/>
        </w:rPr>
        <w:t xml:space="preserve"> kilowatt-hours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1F2D4FAF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6783FD65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4D9D0C1E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1CE6C17A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5B993258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13A94123" wp14:editId="5F34927C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56ADC3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09FAC5BE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0C1E80FA" w14:textId="650FCB08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E451FA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February </w:t>
          </w:r>
          <w:r w:rsidR="00A26DF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2021</w:t>
          </w:r>
        </w:p>
      </w:tc>
      <w:tc>
        <w:tcPr>
          <w:tcW w:w="6151" w:type="dxa"/>
          <w:shd w:val="clear" w:color="auto" w:fill="002060"/>
          <w:vAlign w:val="center"/>
        </w:tcPr>
        <w:p w14:paraId="0946A0EF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7598A772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C5CAA36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7EE496C7" wp14:editId="22795A8A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80C1B1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43629C6E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C4E14"/>
    <w:multiLevelType w:val="multilevel"/>
    <w:tmpl w:val="32C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7"/>
  </w:num>
  <w:num w:numId="18">
    <w:abstractNumId w:val="11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5F0"/>
    <w:rsid w:val="00017089"/>
    <w:rsid w:val="00023054"/>
    <w:rsid w:val="00023A36"/>
    <w:rsid w:val="00024CF2"/>
    <w:rsid w:val="00025477"/>
    <w:rsid w:val="00025EEC"/>
    <w:rsid w:val="00026904"/>
    <w:rsid w:val="00026B38"/>
    <w:rsid w:val="00027DF1"/>
    <w:rsid w:val="00031903"/>
    <w:rsid w:val="0003222D"/>
    <w:rsid w:val="000327F4"/>
    <w:rsid w:val="00034FD9"/>
    <w:rsid w:val="00041AA7"/>
    <w:rsid w:val="00045CDD"/>
    <w:rsid w:val="0006665E"/>
    <w:rsid w:val="0007148B"/>
    <w:rsid w:val="000808F7"/>
    <w:rsid w:val="00082BD3"/>
    <w:rsid w:val="000858CE"/>
    <w:rsid w:val="000A298C"/>
    <w:rsid w:val="000A37E9"/>
    <w:rsid w:val="000A58EF"/>
    <w:rsid w:val="000C2172"/>
    <w:rsid w:val="000C4126"/>
    <w:rsid w:val="000D0C25"/>
    <w:rsid w:val="000D17D3"/>
    <w:rsid w:val="000D6E0B"/>
    <w:rsid w:val="000E3D03"/>
    <w:rsid w:val="00111CEF"/>
    <w:rsid w:val="00113741"/>
    <w:rsid w:val="0011533B"/>
    <w:rsid w:val="0012102F"/>
    <w:rsid w:val="001227B5"/>
    <w:rsid w:val="00130972"/>
    <w:rsid w:val="0013200C"/>
    <w:rsid w:val="00152406"/>
    <w:rsid w:val="00154274"/>
    <w:rsid w:val="00165273"/>
    <w:rsid w:val="00173FD2"/>
    <w:rsid w:val="001742DA"/>
    <w:rsid w:val="00176281"/>
    <w:rsid w:val="00181170"/>
    <w:rsid w:val="001923C3"/>
    <w:rsid w:val="00194A88"/>
    <w:rsid w:val="00197C00"/>
    <w:rsid w:val="001A32D5"/>
    <w:rsid w:val="001B6393"/>
    <w:rsid w:val="001D291E"/>
    <w:rsid w:val="001D6674"/>
    <w:rsid w:val="001D6CAE"/>
    <w:rsid w:val="001F2387"/>
    <w:rsid w:val="001F7C6B"/>
    <w:rsid w:val="002005CC"/>
    <w:rsid w:val="002027EB"/>
    <w:rsid w:val="00205E15"/>
    <w:rsid w:val="00210772"/>
    <w:rsid w:val="00211A70"/>
    <w:rsid w:val="00211E52"/>
    <w:rsid w:val="00216078"/>
    <w:rsid w:val="002164F7"/>
    <w:rsid w:val="00220C86"/>
    <w:rsid w:val="0022257D"/>
    <w:rsid w:val="002255D7"/>
    <w:rsid w:val="00225BA9"/>
    <w:rsid w:val="0022639A"/>
    <w:rsid w:val="00226EBB"/>
    <w:rsid w:val="00227B7D"/>
    <w:rsid w:val="00231E14"/>
    <w:rsid w:val="0024182E"/>
    <w:rsid w:val="00244F7D"/>
    <w:rsid w:val="00246859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97C7C"/>
    <w:rsid w:val="002A2068"/>
    <w:rsid w:val="002A2DE6"/>
    <w:rsid w:val="002A41E4"/>
    <w:rsid w:val="002A470B"/>
    <w:rsid w:val="002A770B"/>
    <w:rsid w:val="002B32F2"/>
    <w:rsid w:val="002C361D"/>
    <w:rsid w:val="002C4428"/>
    <w:rsid w:val="002D55E3"/>
    <w:rsid w:val="002F6940"/>
    <w:rsid w:val="00313C67"/>
    <w:rsid w:val="003148B3"/>
    <w:rsid w:val="00322C4F"/>
    <w:rsid w:val="0032676E"/>
    <w:rsid w:val="00326C15"/>
    <w:rsid w:val="0032777C"/>
    <w:rsid w:val="00331A8E"/>
    <w:rsid w:val="00332952"/>
    <w:rsid w:val="003373DE"/>
    <w:rsid w:val="0035260C"/>
    <w:rsid w:val="00353BE3"/>
    <w:rsid w:val="00354A4E"/>
    <w:rsid w:val="0036029F"/>
    <w:rsid w:val="00375A37"/>
    <w:rsid w:val="00383440"/>
    <w:rsid w:val="003A410B"/>
    <w:rsid w:val="003A5EDF"/>
    <w:rsid w:val="003B1368"/>
    <w:rsid w:val="003B60EF"/>
    <w:rsid w:val="003C6E4E"/>
    <w:rsid w:val="003D265D"/>
    <w:rsid w:val="003D72D0"/>
    <w:rsid w:val="003E1C2B"/>
    <w:rsid w:val="003E2336"/>
    <w:rsid w:val="003E2AB6"/>
    <w:rsid w:val="003E350D"/>
    <w:rsid w:val="003E6280"/>
    <w:rsid w:val="003F19FF"/>
    <w:rsid w:val="003F497F"/>
    <w:rsid w:val="003F4BC7"/>
    <w:rsid w:val="00400566"/>
    <w:rsid w:val="0040086D"/>
    <w:rsid w:val="004041BA"/>
    <w:rsid w:val="004066B7"/>
    <w:rsid w:val="004109D4"/>
    <w:rsid w:val="00420AE1"/>
    <w:rsid w:val="00420D07"/>
    <w:rsid w:val="00421E5E"/>
    <w:rsid w:val="004308B1"/>
    <w:rsid w:val="00433148"/>
    <w:rsid w:val="00433B14"/>
    <w:rsid w:val="00433CE9"/>
    <w:rsid w:val="004430A4"/>
    <w:rsid w:val="00444D71"/>
    <w:rsid w:val="00456C4F"/>
    <w:rsid w:val="004576EC"/>
    <w:rsid w:val="00461218"/>
    <w:rsid w:val="004642EC"/>
    <w:rsid w:val="00467C49"/>
    <w:rsid w:val="004706BE"/>
    <w:rsid w:val="00474F83"/>
    <w:rsid w:val="00487649"/>
    <w:rsid w:val="00487DDA"/>
    <w:rsid w:val="004941D2"/>
    <w:rsid w:val="00497EB9"/>
    <w:rsid w:val="004A2C07"/>
    <w:rsid w:val="004A69F1"/>
    <w:rsid w:val="004A7E44"/>
    <w:rsid w:val="004B0515"/>
    <w:rsid w:val="004C5737"/>
    <w:rsid w:val="004E0384"/>
    <w:rsid w:val="004E154E"/>
    <w:rsid w:val="004E1EB7"/>
    <w:rsid w:val="004F0663"/>
    <w:rsid w:val="004F0FB0"/>
    <w:rsid w:val="004F467C"/>
    <w:rsid w:val="004F7B2B"/>
    <w:rsid w:val="00500A02"/>
    <w:rsid w:val="00506C17"/>
    <w:rsid w:val="0051222C"/>
    <w:rsid w:val="00512B1B"/>
    <w:rsid w:val="00513835"/>
    <w:rsid w:val="005179CC"/>
    <w:rsid w:val="0052226D"/>
    <w:rsid w:val="0052755A"/>
    <w:rsid w:val="00530D7C"/>
    <w:rsid w:val="00531FB3"/>
    <w:rsid w:val="0053241B"/>
    <w:rsid w:val="00532841"/>
    <w:rsid w:val="00532EA7"/>
    <w:rsid w:val="005363FD"/>
    <w:rsid w:val="005372D9"/>
    <w:rsid w:val="0054359F"/>
    <w:rsid w:val="00546A7D"/>
    <w:rsid w:val="005517C6"/>
    <w:rsid w:val="00552B0C"/>
    <w:rsid w:val="00567FFB"/>
    <w:rsid w:val="00571C5D"/>
    <w:rsid w:val="00575FEF"/>
    <w:rsid w:val="00577971"/>
    <w:rsid w:val="00583A04"/>
    <w:rsid w:val="00590D03"/>
    <w:rsid w:val="00596E1D"/>
    <w:rsid w:val="005A10B8"/>
    <w:rsid w:val="005C4EC3"/>
    <w:rsid w:val="005D13A8"/>
    <w:rsid w:val="005D2EAB"/>
    <w:rsid w:val="005E07D0"/>
    <w:rsid w:val="005E4368"/>
    <w:rsid w:val="005F4F7C"/>
    <w:rsid w:val="00600EF0"/>
    <w:rsid w:val="006200CA"/>
    <w:rsid w:val="00640B0E"/>
    <w:rsid w:val="006431EF"/>
    <w:rsid w:val="00645B76"/>
    <w:rsid w:val="006465FE"/>
    <w:rsid w:val="006472E9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17F9"/>
    <w:rsid w:val="00682BFD"/>
    <w:rsid w:val="006837AC"/>
    <w:rsid w:val="006927C5"/>
    <w:rsid w:val="00693FCB"/>
    <w:rsid w:val="006A05D6"/>
    <w:rsid w:val="006A6DD1"/>
    <w:rsid w:val="006B3518"/>
    <w:rsid w:val="006B7F07"/>
    <w:rsid w:val="006C73E5"/>
    <w:rsid w:val="006C7CCA"/>
    <w:rsid w:val="006D4605"/>
    <w:rsid w:val="006D5A7C"/>
    <w:rsid w:val="006D7FBD"/>
    <w:rsid w:val="006F186F"/>
    <w:rsid w:val="006F4F92"/>
    <w:rsid w:val="00704D6C"/>
    <w:rsid w:val="00714B95"/>
    <w:rsid w:val="00715879"/>
    <w:rsid w:val="00715E59"/>
    <w:rsid w:val="007213FF"/>
    <w:rsid w:val="00722F32"/>
    <w:rsid w:val="007337FB"/>
    <w:rsid w:val="007350FA"/>
    <w:rsid w:val="0073542E"/>
    <w:rsid w:val="00736959"/>
    <w:rsid w:val="00740A58"/>
    <w:rsid w:val="00744580"/>
    <w:rsid w:val="00747A77"/>
    <w:rsid w:val="00750033"/>
    <w:rsid w:val="007501A3"/>
    <w:rsid w:val="00751015"/>
    <w:rsid w:val="00754252"/>
    <w:rsid w:val="00754EBC"/>
    <w:rsid w:val="0075685A"/>
    <w:rsid w:val="00763AF7"/>
    <w:rsid w:val="00764CCE"/>
    <w:rsid w:val="00770686"/>
    <w:rsid w:val="00774A18"/>
    <w:rsid w:val="00774E68"/>
    <w:rsid w:val="0077538E"/>
    <w:rsid w:val="007821A8"/>
    <w:rsid w:val="0078294C"/>
    <w:rsid w:val="00785260"/>
    <w:rsid w:val="007875CA"/>
    <w:rsid w:val="0079582D"/>
    <w:rsid w:val="00797A71"/>
    <w:rsid w:val="007A3BE1"/>
    <w:rsid w:val="007A4959"/>
    <w:rsid w:val="007B22E5"/>
    <w:rsid w:val="007B693A"/>
    <w:rsid w:val="007B6E1C"/>
    <w:rsid w:val="007C0FA4"/>
    <w:rsid w:val="007C4598"/>
    <w:rsid w:val="007E53BD"/>
    <w:rsid w:val="007F2297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61CBE"/>
    <w:rsid w:val="00863057"/>
    <w:rsid w:val="0087708C"/>
    <w:rsid w:val="0088523A"/>
    <w:rsid w:val="0089340B"/>
    <w:rsid w:val="00894283"/>
    <w:rsid w:val="00896969"/>
    <w:rsid w:val="008A19CA"/>
    <w:rsid w:val="008A7DB0"/>
    <w:rsid w:val="008B3496"/>
    <w:rsid w:val="008B4F7C"/>
    <w:rsid w:val="008B4FB2"/>
    <w:rsid w:val="008B545E"/>
    <w:rsid w:val="008C068D"/>
    <w:rsid w:val="008D689E"/>
    <w:rsid w:val="008F0EAE"/>
    <w:rsid w:val="008F3C57"/>
    <w:rsid w:val="009028CF"/>
    <w:rsid w:val="00904F9A"/>
    <w:rsid w:val="00906436"/>
    <w:rsid w:val="00906D2F"/>
    <w:rsid w:val="00907739"/>
    <w:rsid w:val="0091796E"/>
    <w:rsid w:val="0092082F"/>
    <w:rsid w:val="00923392"/>
    <w:rsid w:val="00960036"/>
    <w:rsid w:val="00960614"/>
    <w:rsid w:val="00962953"/>
    <w:rsid w:val="009630B7"/>
    <w:rsid w:val="00981344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C08EA"/>
    <w:rsid w:val="009C1F06"/>
    <w:rsid w:val="009C3CFA"/>
    <w:rsid w:val="009C413D"/>
    <w:rsid w:val="009C489E"/>
    <w:rsid w:val="009C64BF"/>
    <w:rsid w:val="009C77F0"/>
    <w:rsid w:val="009F2F79"/>
    <w:rsid w:val="009F37FD"/>
    <w:rsid w:val="00A04EDD"/>
    <w:rsid w:val="00A100CA"/>
    <w:rsid w:val="00A12A44"/>
    <w:rsid w:val="00A13F4C"/>
    <w:rsid w:val="00A14F8E"/>
    <w:rsid w:val="00A21707"/>
    <w:rsid w:val="00A24FB2"/>
    <w:rsid w:val="00A26DF2"/>
    <w:rsid w:val="00A301CD"/>
    <w:rsid w:val="00A31DB8"/>
    <w:rsid w:val="00A33DC8"/>
    <w:rsid w:val="00A369FB"/>
    <w:rsid w:val="00A42FDB"/>
    <w:rsid w:val="00A47930"/>
    <w:rsid w:val="00A54A53"/>
    <w:rsid w:val="00A565BE"/>
    <w:rsid w:val="00A56964"/>
    <w:rsid w:val="00A64E58"/>
    <w:rsid w:val="00A86289"/>
    <w:rsid w:val="00A9325D"/>
    <w:rsid w:val="00A9594E"/>
    <w:rsid w:val="00AA1472"/>
    <w:rsid w:val="00AA279D"/>
    <w:rsid w:val="00AA5D1C"/>
    <w:rsid w:val="00AC13ED"/>
    <w:rsid w:val="00AC1900"/>
    <w:rsid w:val="00AC5C9F"/>
    <w:rsid w:val="00AC796F"/>
    <w:rsid w:val="00AD2B02"/>
    <w:rsid w:val="00AD5628"/>
    <w:rsid w:val="00AE3776"/>
    <w:rsid w:val="00AE3DC6"/>
    <w:rsid w:val="00AE4A56"/>
    <w:rsid w:val="00AE5D54"/>
    <w:rsid w:val="00AF08F7"/>
    <w:rsid w:val="00AF0AD6"/>
    <w:rsid w:val="00AF4F5C"/>
    <w:rsid w:val="00AF56A6"/>
    <w:rsid w:val="00AF7013"/>
    <w:rsid w:val="00AF79BC"/>
    <w:rsid w:val="00B02A4F"/>
    <w:rsid w:val="00B0539B"/>
    <w:rsid w:val="00B06589"/>
    <w:rsid w:val="00B12BBD"/>
    <w:rsid w:val="00B2335F"/>
    <w:rsid w:val="00B30AA1"/>
    <w:rsid w:val="00B344BF"/>
    <w:rsid w:val="00B43F4E"/>
    <w:rsid w:val="00B633D6"/>
    <w:rsid w:val="00B637B2"/>
    <w:rsid w:val="00B67CC1"/>
    <w:rsid w:val="00B72448"/>
    <w:rsid w:val="00B77B78"/>
    <w:rsid w:val="00B8063D"/>
    <w:rsid w:val="00B8732B"/>
    <w:rsid w:val="00B90CB9"/>
    <w:rsid w:val="00B9638F"/>
    <w:rsid w:val="00BA1AE6"/>
    <w:rsid w:val="00BB2F63"/>
    <w:rsid w:val="00BB3903"/>
    <w:rsid w:val="00BC591F"/>
    <w:rsid w:val="00BC713D"/>
    <w:rsid w:val="00BD1059"/>
    <w:rsid w:val="00BD2851"/>
    <w:rsid w:val="00BE17F2"/>
    <w:rsid w:val="00BE504C"/>
    <w:rsid w:val="00BF53B3"/>
    <w:rsid w:val="00BF5B47"/>
    <w:rsid w:val="00C011FD"/>
    <w:rsid w:val="00C03449"/>
    <w:rsid w:val="00C06B83"/>
    <w:rsid w:val="00C21A02"/>
    <w:rsid w:val="00C3215A"/>
    <w:rsid w:val="00C3519B"/>
    <w:rsid w:val="00C459C9"/>
    <w:rsid w:val="00C47053"/>
    <w:rsid w:val="00C47A69"/>
    <w:rsid w:val="00C63C9B"/>
    <w:rsid w:val="00C67186"/>
    <w:rsid w:val="00C72375"/>
    <w:rsid w:val="00C72AE1"/>
    <w:rsid w:val="00C83FB0"/>
    <w:rsid w:val="00C84C80"/>
    <w:rsid w:val="00C85647"/>
    <w:rsid w:val="00C856A2"/>
    <w:rsid w:val="00C87F18"/>
    <w:rsid w:val="00C93620"/>
    <w:rsid w:val="00C97847"/>
    <w:rsid w:val="00CA2061"/>
    <w:rsid w:val="00CA65A7"/>
    <w:rsid w:val="00CA7021"/>
    <w:rsid w:val="00CB4F96"/>
    <w:rsid w:val="00CC0499"/>
    <w:rsid w:val="00CC5559"/>
    <w:rsid w:val="00CD3764"/>
    <w:rsid w:val="00CE1624"/>
    <w:rsid w:val="00CE19C8"/>
    <w:rsid w:val="00CF044A"/>
    <w:rsid w:val="00CF22CD"/>
    <w:rsid w:val="00CF4BB6"/>
    <w:rsid w:val="00CF5FEC"/>
    <w:rsid w:val="00D00D38"/>
    <w:rsid w:val="00D01D0F"/>
    <w:rsid w:val="00D10B02"/>
    <w:rsid w:val="00D12D57"/>
    <w:rsid w:val="00D13742"/>
    <w:rsid w:val="00D21AD4"/>
    <w:rsid w:val="00D25183"/>
    <w:rsid w:val="00D26DE7"/>
    <w:rsid w:val="00D31094"/>
    <w:rsid w:val="00D4000C"/>
    <w:rsid w:val="00D410D3"/>
    <w:rsid w:val="00D431B7"/>
    <w:rsid w:val="00D431EC"/>
    <w:rsid w:val="00D43747"/>
    <w:rsid w:val="00D44ED3"/>
    <w:rsid w:val="00D53687"/>
    <w:rsid w:val="00D636DC"/>
    <w:rsid w:val="00D6482E"/>
    <w:rsid w:val="00D64A9A"/>
    <w:rsid w:val="00D654D1"/>
    <w:rsid w:val="00D70E0E"/>
    <w:rsid w:val="00D72C83"/>
    <w:rsid w:val="00D75EA1"/>
    <w:rsid w:val="00D80425"/>
    <w:rsid w:val="00D83727"/>
    <w:rsid w:val="00D85AE4"/>
    <w:rsid w:val="00D8684B"/>
    <w:rsid w:val="00D8720D"/>
    <w:rsid w:val="00D8745C"/>
    <w:rsid w:val="00D92D2C"/>
    <w:rsid w:val="00D93845"/>
    <w:rsid w:val="00D96F26"/>
    <w:rsid w:val="00DA1AA5"/>
    <w:rsid w:val="00DA2F3D"/>
    <w:rsid w:val="00DB21E0"/>
    <w:rsid w:val="00DB48E8"/>
    <w:rsid w:val="00DB7796"/>
    <w:rsid w:val="00DC1012"/>
    <w:rsid w:val="00DC2132"/>
    <w:rsid w:val="00DC7C3E"/>
    <w:rsid w:val="00DD0AA0"/>
    <w:rsid w:val="00DD23FA"/>
    <w:rsid w:val="00DD577D"/>
    <w:rsid w:val="00DD7373"/>
    <w:rsid w:val="00DE00A6"/>
    <w:rsid w:val="00DF4FD8"/>
    <w:rsid w:val="00DF5631"/>
    <w:rsid w:val="00E07248"/>
    <w:rsid w:val="00E15290"/>
    <w:rsid w:val="00E17ECA"/>
    <w:rsid w:val="00E27F02"/>
    <w:rsid w:val="00E30A95"/>
    <w:rsid w:val="00E32A59"/>
    <w:rsid w:val="00E3304B"/>
    <w:rsid w:val="00E33B56"/>
    <w:rsid w:val="00E3467E"/>
    <w:rsid w:val="00E44676"/>
    <w:rsid w:val="00E451FA"/>
    <w:rsid w:val="00E46AC1"/>
    <w:rsid w:val="00E52732"/>
    <w:rsid w:val="00E56657"/>
    <w:rsid w:val="00E57E1A"/>
    <w:rsid w:val="00E62C26"/>
    <w:rsid w:val="00E62EB2"/>
    <w:rsid w:val="00E64305"/>
    <w:rsid w:val="00E74DCD"/>
    <w:rsid w:val="00E767CC"/>
    <w:rsid w:val="00E81868"/>
    <w:rsid w:val="00E97440"/>
    <w:rsid w:val="00E97705"/>
    <w:rsid w:val="00E97749"/>
    <w:rsid w:val="00EA38F3"/>
    <w:rsid w:val="00EB545D"/>
    <w:rsid w:val="00EB68DB"/>
    <w:rsid w:val="00EB6CA7"/>
    <w:rsid w:val="00EC1BE5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26A84"/>
    <w:rsid w:val="00F27C93"/>
    <w:rsid w:val="00F319C3"/>
    <w:rsid w:val="00F37C73"/>
    <w:rsid w:val="00F4705B"/>
    <w:rsid w:val="00F4739A"/>
    <w:rsid w:val="00F50C4F"/>
    <w:rsid w:val="00F527DD"/>
    <w:rsid w:val="00F52A15"/>
    <w:rsid w:val="00F54152"/>
    <w:rsid w:val="00F622E1"/>
    <w:rsid w:val="00F64336"/>
    <w:rsid w:val="00F65E84"/>
    <w:rsid w:val="00F67D94"/>
    <w:rsid w:val="00F75E58"/>
    <w:rsid w:val="00F7758E"/>
    <w:rsid w:val="00F85BA0"/>
    <w:rsid w:val="00F8668D"/>
    <w:rsid w:val="00F97A4E"/>
    <w:rsid w:val="00FA5ED0"/>
    <w:rsid w:val="00FA7045"/>
    <w:rsid w:val="00FB198C"/>
    <w:rsid w:val="00FB1BB6"/>
    <w:rsid w:val="00FB2714"/>
    <w:rsid w:val="00FB6041"/>
    <w:rsid w:val="00FC26E6"/>
    <w:rsid w:val="00FD2CED"/>
    <w:rsid w:val="00FD3A7D"/>
    <w:rsid w:val="00FD4D9F"/>
    <w:rsid w:val="00FD79C7"/>
    <w:rsid w:val="00FE0115"/>
    <w:rsid w:val="00FE18AB"/>
    <w:rsid w:val="00FE1F46"/>
    <w:rsid w:val="00FE2136"/>
    <w:rsid w:val="00FE3ACD"/>
    <w:rsid w:val="00FF2812"/>
    <w:rsid w:val="6FB9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F2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5D1A0-D721-4D2D-9DF4-17F5C8B81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2021-01-28T21:43:00Z</dcterms:created>
  <dcterms:modified xsi:type="dcterms:W3CDTF">2021-01-28T21:43:00Z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