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3E2A1" w14:textId="6C453D2B" w:rsidR="00CC5559" w:rsidRDefault="00EB6407" w:rsidP="0078294C">
      <w:pPr>
        <w:ind w:firstLine="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  <w:bCs/>
          <w:color w:val="7030A0"/>
        </w:rPr>
        <w:t>P</w:t>
      </w:r>
      <w:r w:rsidR="00B014B2">
        <w:rPr>
          <w:rFonts w:ascii="Century Gothic" w:hAnsi="Century Gothic" w:cs="Calibri"/>
          <w:b/>
          <w:bCs/>
          <w:color w:val="7030A0"/>
        </w:rPr>
        <w:t>G</w:t>
      </w:r>
      <w:r w:rsidR="00D654D1">
        <w:rPr>
          <w:rFonts w:ascii="Century Gothic" w:hAnsi="Century Gothic" w:cs="Calibri"/>
          <w:b/>
          <w:bCs/>
          <w:color w:val="7030A0"/>
        </w:rPr>
        <w:t>&amp;E</w:t>
      </w:r>
      <w:r w:rsidR="00B9638F" w:rsidRPr="00960036">
        <w:rPr>
          <w:rFonts w:ascii="Century Gothic" w:hAnsi="Century Gothic" w:cs="Calibri"/>
          <w:b/>
          <w:bCs/>
          <w:color w:val="7030A0"/>
        </w:rPr>
        <w:t xml:space="preserve"> </w:t>
      </w:r>
      <w:r w:rsidR="00421E5E" w:rsidRPr="00960036">
        <w:rPr>
          <w:rFonts w:ascii="Century Gothic" w:hAnsi="Century Gothic" w:cs="Calibri"/>
          <w:b/>
          <w:bCs/>
          <w:color w:val="7030A0"/>
        </w:rPr>
        <w:t xml:space="preserve">Advice Letter – </w:t>
      </w:r>
      <w:r w:rsidR="00AF782B">
        <w:rPr>
          <w:rFonts w:ascii="Century Gothic" w:hAnsi="Century Gothic" w:cs="Calibri"/>
        </w:rPr>
        <w:t>PG&amp;</w:t>
      </w:r>
      <w:r w:rsidR="00CC5559" w:rsidRPr="00CC5559">
        <w:rPr>
          <w:rFonts w:ascii="Century Gothic" w:hAnsi="Century Gothic" w:cs="Calibri"/>
        </w:rPr>
        <w:t xml:space="preserve">E annually submits its </w:t>
      </w:r>
      <w:r w:rsidR="008815F4">
        <w:rPr>
          <w:rFonts w:ascii="Century Gothic" w:hAnsi="Century Gothic" w:cs="Calibri"/>
        </w:rPr>
        <w:t>“</w:t>
      </w:r>
      <w:r w:rsidR="000D263D">
        <w:rPr>
          <w:rFonts w:ascii="Century Gothic" w:hAnsi="Century Gothic" w:cs="Calibri"/>
        </w:rPr>
        <w:t>Annual Electric True-Up</w:t>
      </w:r>
      <w:r w:rsidR="008815F4">
        <w:rPr>
          <w:rFonts w:ascii="Century Gothic" w:hAnsi="Century Gothic" w:cs="Calibri"/>
        </w:rPr>
        <w:t>”</w:t>
      </w:r>
      <w:r w:rsidR="005C4A13">
        <w:rPr>
          <w:rFonts w:ascii="Century Gothic" w:hAnsi="Century Gothic" w:cs="Calibri"/>
        </w:rPr>
        <w:t xml:space="preserve"> </w:t>
      </w:r>
      <w:r w:rsidR="005E6A5A">
        <w:rPr>
          <w:rFonts w:ascii="Century Gothic" w:hAnsi="Century Gothic" w:cs="Calibri"/>
        </w:rPr>
        <w:t xml:space="preserve">(AET) </w:t>
      </w:r>
      <w:r w:rsidR="005C4A13">
        <w:rPr>
          <w:rFonts w:ascii="Century Gothic" w:hAnsi="Century Gothic" w:cs="Calibri"/>
        </w:rPr>
        <w:t xml:space="preserve">advice letter </w:t>
      </w:r>
      <w:r w:rsidR="008815F4">
        <w:rPr>
          <w:rFonts w:ascii="Century Gothic" w:hAnsi="Century Gothic" w:cs="Calibri"/>
        </w:rPr>
        <w:t xml:space="preserve">to </w:t>
      </w:r>
      <w:r w:rsidR="00CC5559" w:rsidRPr="00CC5559">
        <w:rPr>
          <w:rFonts w:ascii="Century Gothic" w:hAnsi="Century Gothic" w:cs="Calibri"/>
        </w:rPr>
        <w:t xml:space="preserve">implement </w:t>
      </w:r>
      <w:r w:rsidR="009C3CFA">
        <w:rPr>
          <w:rFonts w:ascii="Century Gothic" w:hAnsi="Century Gothic" w:cs="Calibri"/>
        </w:rPr>
        <w:t>electric rate</w:t>
      </w:r>
      <w:r w:rsidR="008815F4">
        <w:rPr>
          <w:rFonts w:ascii="Century Gothic" w:hAnsi="Century Gothic" w:cs="Calibri"/>
        </w:rPr>
        <w:t xml:space="preserve"> change</w:t>
      </w:r>
      <w:r w:rsidR="009C3CFA">
        <w:rPr>
          <w:rFonts w:ascii="Century Gothic" w:hAnsi="Century Gothic" w:cs="Calibri"/>
        </w:rPr>
        <w:t>s</w:t>
      </w:r>
      <w:r w:rsidR="00CC5559" w:rsidRPr="00CC5559">
        <w:rPr>
          <w:rFonts w:ascii="Century Gothic" w:hAnsi="Century Gothic" w:cs="Calibri"/>
        </w:rPr>
        <w:t xml:space="preserve"> </w:t>
      </w:r>
      <w:r w:rsidR="000D263D">
        <w:rPr>
          <w:rFonts w:ascii="Century Gothic" w:hAnsi="Century Gothic" w:cs="Calibri"/>
        </w:rPr>
        <w:t xml:space="preserve">and their associated tariffs </w:t>
      </w:r>
      <w:r w:rsidR="00CC5559" w:rsidRPr="00CC5559">
        <w:rPr>
          <w:rFonts w:ascii="Century Gothic" w:hAnsi="Century Gothic" w:cs="Calibri"/>
        </w:rPr>
        <w:t xml:space="preserve">from previously authorized decisions, resolutions, and advice letters. </w:t>
      </w:r>
      <w:r w:rsidR="000D263D">
        <w:rPr>
          <w:rFonts w:ascii="Century Gothic" w:hAnsi="Century Gothic" w:cs="Calibri"/>
        </w:rPr>
        <w:t xml:space="preserve">This year, the AET resulted in two rate changes through </w:t>
      </w:r>
      <w:r w:rsidR="005E6A5A">
        <w:rPr>
          <w:rFonts w:ascii="Century Gothic" w:hAnsi="Century Gothic" w:cs="Calibri"/>
        </w:rPr>
        <w:t xml:space="preserve">the filing of two </w:t>
      </w:r>
      <w:r w:rsidR="000D263D">
        <w:rPr>
          <w:rFonts w:ascii="Century Gothic" w:hAnsi="Century Gothic" w:cs="Calibri"/>
        </w:rPr>
        <w:t>separate advice letters</w:t>
      </w:r>
      <w:r w:rsidR="005E6A5A">
        <w:rPr>
          <w:rFonts w:ascii="Century Gothic" w:hAnsi="Century Gothic" w:cs="Calibri"/>
        </w:rPr>
        <w:t>;</w:t>
      </w:r>
      <w:r w:rsidR="000D263D">
        <w:rPr>
          <w:rFonts w:ascii="Century Gothic" w:hAnsi="Century Gothic" w:cs="Calibri"/>
        </w:rPr>
        <w:t xml:space="preserve"> the first one </w:t>
      </w:r>
      <w:r w:rsidR="005E6A5A">
        <w:rPr>
          <w:rFonts w:ascii="Century Gothic" w:hAnsi="Century Gothic" w:cs="Calibri"/>
        </w:rPr>
        <w:t xml:space="preserve">(advice letter 6004-E-C) </w:t>
      </w:r>
      <w:r w:rsidR="000D263D">
        <w:rPr>
          <w:rFonts w:ascii="Century Gothic" w:hAnsi="Century Gothic" w:cs="Calibri"/>
        </w:rPr>
        <w:t xml:space="preserve">was implemented on January 1, 2021 and the second one </w:t>
      </w:r>
      <w:r w:rsidR="005E6A5A">
        <w:rPr>
          <w:rFonts w:ascii="Century Gothic" w:hAnsi="Century Gothic" w:cs="Calibri"/>
        </w:rPr>
        <w:t xml:space="preserve">(advice letter 6090-E) </w:t>
      </w:r>
      <w:r w:rsidR="00D431B7" w:rsidRPr="00D431B7">
        <w:rPr>
          <w:rFonts w:ascii="Century Gothic" w:hAnsi="Century Gothic" w:cs="Calibri"/>
        </w:rPr>
        <w:t xml:space="preserve">will result in rate and bill impacts beginning on </w:t>
      </w:r>
      <w:r w:rsidR="007B66A6">
        <w:rPr>
          <w:rFonts w:ascii="Century Gothic" w:hAnsi="Century Gothic" w:cs="Calibri"/>
        </w:rPr>
        <w:t>March</w:t>
      </w:r>
      <w:r w:rsidR="00D431B7" w:rsidRPr="00D431B7">
        <w:rPr>
          <w:rFonts w:ascii="Century Gothic" w:hAnsi="Century Gothic" w:cs="Calibri"/>
        </w:rPr>
        <w:t xml:space="preserve"> 1, 202</w:t>
      </w:r>
      <w:r w:rsidR="00861CBE">
        <w:rPr>
          <w:rFonts w:ascii="Century Gothic" w:hAnsi="Century Gothic" w:cs="Calibri"/>
        </w:rPr>
        <w:t>1</w:t>
      </w:r>
      <w:r w:rsidR="00D431B7" w:rsidRPr="00D431B7">
        <w:rPr>
          <w:rFonts w:ascii="Century Gothic" w:hAnsi="Century Gothic" w:cs="Calibri"/>
        </w:rPr>
        <w:t>.</w:t>
      </w:r>
    </w:p>
    <w:p w14:paraId="4989E4AC" w14:textId="77777777" w:rsidR="00421E5E" w:rsidRPr="00960036" w:rsidRDefault="00421E5E" w:rsidP="00421E5E">
      <w:pPr>
        <w:pBdr>
          <w:bottom w:val="dotted" w:sz="24" w:space="1" w:color="auto"/>
        </w:pBdr>
        <w:ind w:firstLine="0"/>
        <w:rPr>
          <w:rFonts w:ascii="Century Gothic" w:hAnsi="Century Gothic" w:cs="Calibri"/>
          <w:b/>
          <w:bCs/>
          <w:sz w:val="14"/>
          <w:szCs w:val="14"/>
        </w:rPr>
      </w:pPr>
    </w:p>
    <w:p w14:paraId="4A167E70" w14:textId="77777777" w:rsidR="00421E5E" w:rsidRPr="00960036" w:rsidRDefault="00421E5E" w:rsidP="00421E5E">
      <w:pPr>
        <w:pStyle w:val="ListParagraph"/>
        <w:ind w:left="360" w:firstLine="0"/>
        <w:rPr>
          <w:rFonts w:ascii="Century Gothic" w:hAnsi="Century Gothic" w:cs="Calibri"/>
          <w:sz w:val="14"/>
          <w:szCs w:val="14"/>
          <w:u w:val="single"/>
        </w:rPr>
      </w:pPr>
    </w:p>
    <w:p w14:paraId="5BFD745D" w14:textId="66303C3D" w:rsidR="002164F7" w:rsidRPr="00960036" w:rsidRDefault="00AC796F" w:rsidP="00AF0AD6">
      <w:pPr>
        <w:ind w:firstLine="0"/>
        <w:jc w:val="center"/>
        <w:rPr>
          <w:rFonts w:ascii="Century Gothic" w:hAnsi="Century Gothic" w:cs="Calibri"/>
          <w:b/>
          <w:bCs/>
          <w:u w:val="single"/>
        </w:rPr>
      </w:pPr>
      <w:r w:rsidRPr="00960036">
        <w:rPr>
          <w:rFonts w:ascii="Century Gothic" w:hAnsi="Century Gothic" w:cs="Calibri"/>
          <w:b/>
          <w:bCs/>
          <w:u w:val="single"/>
        </w:rPr>
        <w:t xml:space="preserve">Estimated </w:t>
      </w:r>
      <w:r w:rsidR="002164F7" w:rsidRPr="00960036">
        <w:rPr>
          <w:rFonts w:ascii="Century Gothic" w:hAnsi="Century Gothic" w:cs="Calibri"/>
          <w:b/>
          <w:bCs/>
          <w:u w:val="single"/>
        </w:rPr>
        <w:t xml:space="preserve">Bill Impacts of All Requested </w:t>
      </w:r>
      <w:r w:rsidR="00194A88">
        <w:rPr>
          <w:rFonts w:ascii="Century Gothic" w:hAnsi="Century Gothic" w:cs="Calibri"/>
          <w:b/>
          <w:bCs/>
          <w:u w:val="single"/>
        </w:rPr>
        <w:t xml:space="preserve">Electric </w:t>
      </w:r>
      <w:r w:rsidR="002164F7" w:rsidRPr="00960036">
        <w:rPr>
          <w:rFonts w:ascii="Century Gothic" w:hAnsi="Century Gothic" w:cs="Calibri"/>
          <w:b/>
          <w:bCs/>
          <w:u w:val="single"/>
        </w:rPr>
        <w:t xml:space="preserve">Rate Changes Effective </w:t>
      </w:r>
      <w:r w:rsidR="007B66A6">
        <w:rPr>
          <w:rFonts w:ascii="Century Gothic" w:hAnsi="Century Gothic" w:cs="Calibri"/>
          <w:b/>
          <w:bCs/>
          <w:u w:val="single"/>
        </w:rPr>
        <w:t>March</w:t>
      </w:r>
      <w:r w:rsidR="00D654D1">
        <w:rPr>
          <w:rFonts w:ascii="Century Gothic" w:hAnsi="Century Gothic" w:cs="Calibri"/>
          <w:b/>
          <w:bCs/>
          <w:u w:val="single"/>
        </w:rPr>
        <w:t xml:space="preserve"> 1, 2021</w:t>
      </w:r>
      <w:r w:rsidR="002164F7" w:rsidRPr="00960036">
        <w:rPr>
          <w:rFonts w:ascii="Century Gothic" w:hAnsi="Century Gothic" w:cs="Calibri"/>
          <w:b/>
          <w:bCs/>
          <w:u w:val="single"/>
        </w:rPr>
        <w:t>:</w:t>
      </w:r>
    </w:p>
    <w:p w14:paraId="25660049" w14:textId="77777777" w:rsidR="002164F7" w:rsidRPr="00960036" w:rsidRDefault="002164F7" w:rsidP="002164F7">
      <w:pPr>
        <w:ind w:firstLine="0"/>
        <w:rPr>
          <w:rFonts w:ascii="Century Gothic" w:hAnsi="Century Gothic" w:cs="Calibri"/>
        </w:rPr>
      </w:pPr>
    </w:p>
    <w:tbl>
      <w:tblPr>
        <w:tblStyle w:val="GridTable5Dark-Accent21"/>
        <w:tblW w:w="10487" w:type="dxa"/>
        <w:jc w:val="center"/>
        <w:tblLook w:val="04A0" w:firstRow="1" w:lastRow="0" w:firstColumn="1" w:lastColumn="0" w:noHBand="0" w:noVBand="1"/>
      </w:tblPr>
      <w:tblGrid>
        <w:gridCol w:w="6655"/>
        <w:gridCol w:w="3832"/>
      </w:tblGrid>
      <w:tr w:rsidR="002164F7" w:rsidRPr="00960036" w14:paraId="42E9E237" w14:textId="77777777" w:rsidTr="00653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525A498" w14:textId="77777777" w:rsidR="002164F7" w:rsidRPr="00960036" w:rsidRDefault="00CB4F96" w:rsidP="002164F7">
            <w:pPr>
              <w:ind w:firstLine="0"/>
              <w:jc w:val="center"/>
              <w:rPr>
                <w:rFonts w:ascii="Century Gothic" w:hAnsi="Century Gothic" w:cs="Calibri"/>
                <w:i/>
                <w:iCs/>
              </w:rPr>
            </w:pPr>
            <w:r w:rsidRPr="00960036">
              <w:rPr>
                <w:rFonts w:ascii="Century Gothic" w:hAnsi="Century Gothic" w:cs="Calibri"/>
              </w:rPr>
              <w:t xml:space="preserve">Estimated </w:t>
            </w:r>
            <w:r w:rsidR="002164F7" w:rsidRPr="00960036">
              <w:rPr>
                <w:rFonts w:ascii="Century Gothic" w:hAnsi="Century Gothic" w:cs="Calibri"/>
              </w:rPr>
              <w:t>Electric Bill Impacts</w:t>
            </w:r>
            <w:r w:rsidR="002164F7" w:rsidRPr="00960036">
              <w:rPr>
                <w:rStyle w:val="FootnoteReference"/>
                <w:rFonts w:ascii="Century Gothic" w:hAnsi="Century Gothic" w:cs="Calibri"/>
              </w:rPr>
              <w:footnoteReference w:id="1"/>
            </w:r>
            <w:r w:rsidR="002164F7" w:rsidRPr="00960036">
              <w:rPr>
                <w:rFonts w:ascii="Century Gothic" w:hAnsi="Century Gothic" w:cs="Calibri"/>
              </w:rPr>
              <w:t xml:space="preserve"> </w:t>
            </w:r>
          </w:p>
        </w:tc>
        <w:tc>
          <w:tcPr>
            <w:tcW w:w="3832" w:type="dxa"/>
            <w:tcBorders>
              <w:bottom w:val="single" w:sz="4" w:space="0" w:color="FFFFFF" w:themeColor="background1"/>
            </w:tcBorders>
          </w:tcPr>
          <w:p w14:paraId="20283E47" w14:textId="1482762C" w:rsidR="002164F7" w:rsidRPr="00960036" w:rsidRDefault="007B66A6" w:rsidP="004066B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P</w:t>
            </w:r>
            <w:r w:rsidR="00EA38F3">
              <w:rPr>
                <w:rFonts w:ascii="Century Gothic" w:hAnsi="Century Gothic" w:cs="Calibri"/>
              </w:rPr>
              <w:t>G&amp;E</w:t>
            </w:r>
            <w:r w:rsidR="00EA38F3" w:rsidRPr="00960036">
              <w:rPr>
                <w:rFonts w:ascii="Century Gothic" w:hAnsi="Century Gothic" w:cs="Calibri"/>
              </w:rPr>
              <w:t xml:space="preserve"> </w:t>
            </w:r>
            <w:r w:rsidR="000327F4">
              <w:rPr>
                <w:rFonts w:ascii="Century Gothic" w:hAnsi="Century Gothic" w:cs="Calibri"/>
              </w:rPr>
              <w:t xml:space="preserve">as of </w:t>
            </w:r>
            <w:r>
              <w:rPr>
                <w:rFonts w:ascii="Century Gothic" w:hAnsi="Century Gothic" w:cs="Calibri"/>
              </w:rPr>
              <w:t>March</w:t>
            </w:r>
            <w:r w:rsidR="000327F4">
              <w:rPr>
                <w:rFonts w:ascii="Century Gothic" w:hAnsi="Century Gothic" w:cs="Calibri"/>
              </w:rPr>
              <w:t xml:space="preserve"> 1, 2021</w:t>
            </w:r>
          </w:p>
        </w:tc>
      </w:tr>
      <w:tr w:rsidR="002164F7" w:rsidRPr="00960036" w14:paraId="4F282354" w14:textId="77777777" w:rsidTr="0065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1982934" w14:textId="77777777" w:rsidR="002164F7" w:rsidRPr="00960036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</w:t>
            </w:r>
            <w:r w:rsidR="002164F7" w:rsidRPr="00960036">
              <w:rPr>
                <w:rFonts w:ascii="Century Gothic" w:hAnsi="Century Gothic" w:cs="Calibri"/>
                <w:b w:val="0"/>
                <w:bCs w:val="0"/>
              </w:rPr>
              <w:t>on-CARE electric bill</w:t>
            </w:r>
          </w:p>
        </w:tc>
        <w:tc>
          <w:tcPr>
            <w:tcW w:w="3832" w:type="dxa"/>
            <w:shd w:val="clear" w:color="auto" w:fill="00B0F0"/>
          </w:tcPr>
          <w:p w14:paraId="657185D5" w14:textId="2C283018" w:rsidR="002164F7" w:rsidRPr="00960036" w:rsidRDefault="002A41E4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31FC0">
              <w:rPr>
                <w:rFonts w:ascii="Century Gothic" w:hAnsi="Century Gothic" w:cs="Calibri"/>
              </w:rPr>
              <w:t>$</w:t>
            </w:r>
            <w:r w:rsidR="0046645F">
              <w:rPr>
                <w:rFonts w:ascii="Century Gothic" w:hAnsi="Century Gothic" w:cs="Calibri"/>
              </w:rPr>
              <w:t>1</w:t>
            </w:r>
            <w:r w:rsidR="002A797B">
              <w:rPr>
                <w:rFonts w:ascii="Century Gothic" w:hAnsi="Century Gothic" w:cs="Calibri"/>
              </w:rPr>
              <w:t>41.</w:t>
            </w:r>
            <w:r w:rsidR="00503E76">
              <w:rPr>
                <w:rFonts w:ascii="Century Gothic" w:hAnsi="Century Gothic" w:cs="Calibri"/>
              </w:rPr>
              <w:t>70</w:t>
            </w:r>
          </w:p>
        </w:tc>
      </w:tr>
      <w:tr w:rsidR="00863057" w:rsidRPr="00960036" w14:paraId="64A43E2D" w14:textId="77777777" w:rsidTr="006535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1E03D62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Non-CARE electric bill increase</w:t>
            </w:r>
          </w:p>
        </w:tc>
        <w:tc>
          <w:tcPr>
            <w:tcW w:w="3832" w:type="dxa"/>
            <w:tcBorders>
              <w:bottom w:val="single" w:sz="4" w:space="0" w:color="FFFFFF" w:themeColor="background1"/>
            </w:tcBorders>
          </w:tcPr>
          <w:p w14:paraId="229FB9B6" w14:textId="44B11E3A"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503E76">
              <w:rPr>
                <w:rFonts w:ascii="Century Gothic" w:hAnsi="Century Gothic" w:cs="Calibri"/>
              </w:rPr>
              <w:t>5.12</w:t>
            </w:r>
            <w:r>
              <w:rPr>
                <w:rFonts w:ascii="Century Gothic" w:hAnsi="Century Gothic" w:cs="Calibri"/>
              </w:rPr>
              <w:t xml:space="preserve"> (</w:t>
            </w:r>
            <w:r w:rsidR="0031493D">
              <w:rPr>
                <w:rFonts w:ascii="Century Gothic" w:hAnsi="Century Gothic" w:cs="Calibri"/>
              </w:rPr>
              <w:t>3.</w:t>
            </w:r>
            <w:r w:rsidR="00503E76">
              <w:rPr>
                <w:rFonts w:ascii="Century Gothic" w:hAnsi="Century Gothic" w:cs="Calibri"/>
              </w:rPr>
              <w:t>7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  <w:tr w:rsidR="00863057" w:rsidRPr="00960036" w14:paraId="47120EBF" w14:textId="77777777" w:rsidTr="0065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BF233FF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</w:t>
            </w:r>
          </w:p>
        </w:tc>
        <w:tc>
          <w:tcPr>
            <w:tcW w:w="3832" w:type="dxa"/>
            <w:shd w:val="clear" w:color="auto" w:fill="00B0F0"/>
          </w:tcPr>
          <w:p w14:paraId="65C16379" w14:textId="1B6C0FA8" w:rsidR="00863057" w:rsidRPr="00960036" w:rsidRDefault="00863057" w:rsidP="008630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31FC0">
              <w:rPr>
                <w:rFonts w:ascii="Century Gothic" w:hAnsi="Century Gothic" w:cs="Calibri"/>
              </w:rPr>
              <w:t>$</w:t>
            </w:r>
            <w:r w:rsidR="002A797B">
              <w:rPr>
                <w:rFonts w:ascii="Century Gothic" w:hAnsi="Century Gothic" w:cs="Calibri"/>
              </w:rPr>
              <w:t>90.</w:t>
            </w:r>
            <w:r w:rsidR="0044011D">
              <w:rPr>
                <w:rFonts w:ascii="Century Gothic" w:hAnsi="Century Gothic" w:cs="Calibri"/>
              </w:rPr>
              <w:t>90</w:t>
            </w:r>
          </w:p>
        </w:tc>
      </w:tr>
      <w:tr w:rsidR="00863057" w:rsidRPr="00960036" w14:paraId="3B8B3538" w14:textId="77777777" w:rsidTr="006535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ACC7D8C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 increase</w:t>
            </w:r>
          </w:p>
        </w:tc>
        <w:tc>
          <w:tcPr>
            <w:tcW w:w="3832" w:type="dxa"/>
          </w:tcPr>
          <w:p w14:paraId="31F91444" w14:textId="79B7E4B1"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F80E8A">
              <w:rPr>
                <w:rFonts w:ascii="Century Gothic" w:hAnsi="Century Gothic" w:cs="Calibri"/>
              </w:rPr>
              <w:t>3.</w:t>
            </w:r>
            <w:r w:rsidR="0044011D">
              <w:rPr>
                <w:rFonts w:ascii="Century Gothic" w:hAnsi="Century Gothic" w:cs="Calibri"/>
              </w:rPr>
              <w:t>32</w:t>
            </w:r>
            <w:r>
              <w:rPr>
                <w:rFonts w:ascii="Century Gothic" w:hAnsi="Century Gothic" w:cs="Calibri"/>
              </w:rPr>
              <w:t xml:space="preserve"> (</w:t>
            </w:r>
            <w:r w:rsidR="00F80E8A">
              <w:rPr>
                <w:rFonts w:ascii="Century Gothic" w:hAnsi="Century Gothic" w:cs="Calibri"/>
              </w:rPr>
              <w:t>3.</w:t>
            </w:r>
            <w:r w:rsidR="0044011D">
              <w:rPr>
                <w:rFonts w:ascii="Century Gothic" w:hAnsi="Century Gothic" w:cs="Calibri"/>
              </w:rPr>
              <w:t>8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</w:tbl>
    <w:p w14:paraId="668567E1" w14:textId="77777777" w:rsidR="002164F7" w:rsidRPr="00960036" w:rsidRDefault="002164F7" w:rsidP="002164F7">
      <w:pPr>
        <w:pStyle w:val="ListParagraph"/>
        <w:ind w:left="0" w:firstLine="0"/>
        <w:rPr>
          <w:rFonts w:ascii="Century Gothic" w:hAnsi="Century Gothic" w:cs="Calibri"/>
          <w:sz w:val="26"/>
          <w:szCs w:val="26"/>
        </w:rPr>
      </w:pPr>
    </w:p>
    <w:p w14:paraId="26EF07F8" w14:textId="68ABBDD2" w:rsidR="00CB4F96" w:rsidRPr="00960036" w:rsidRDefault="00294B22" w:rsidP="00CB4F96">
      <w:pPr>
        <w:ind w:firstLine="0"/>
        <w:rPr>
          <w:rFonts w:ascii="Century Gothic" w:hAnsi="Century Gothic" w:cs="Calibri"/>
        </w:rPr>
      </w:pPr>
      <w:r w:rsidRPr="00960036">
        <w:rPr>
          <w:rFonts w:ascii="Century Gothic" w:hAnsi="Century Gothic" w:cs="Calibri"/>
        </w:rPr>
        <w:t xml:space="preserve">Below are the </w:t>
      </w:r>
      <w:r>
        <w:rPr>
          <w:rFonts w:ascii="Century Gothic" w:hAnsi="Century Gothic" w:cs="Calibri"/>
        </w:rPr>
        <w:t xml:space="preserve">primary drivers of </w:t>
      </w:r>
      <w:r w:rsidR="0029385A">
        <w:rPr>
          <w:rFonts w:ascii="Century Gothic" w:hAnsi="Century Gothic" w:cs="Calibri"/>
        </w:rPr>
        <w:t>P</w:t>
      </w:r>
      <w:r>
        <w:rPr>
          <w:rFonts w:ascii="Century Gothic" w:hAnsi="Century Gothic" w:cs="Calibri"/>
        </w:rPr>
        <w:t xml:space="preserve">G&amp;E’s </w:t>
      </w:r>
      <w:r w:rsidR="000723AE">
        <w:rPr>
          <w:rFonts w:ascii="Century Gothic" w:hAnsi="Century Gothic" w:cs="Calibri"/>
        </w:rPr>
        <w:t>March</w:t>
      </w:r>
      <w:r>
        <w:rPr>
          <w:rFonts w:ascii="Century Gothic" w:hAnsi="Century Gothic" w:cs="Calibri"/>
        </w:rPr>
        <w:t xml:space="preserve"> 1, 2021 </w:t>
      </w:r>
      <w:r w:rsidRPr="00960036">
        <w:rPr>
          <w:rFonts w:ascii="Century Gothic" w:hAnsi="Century Gothic" w:cs="Calibri"/>
        </w:rPr>
        <w:t>electric rate change</w:t>
      </w:r>
      <w:r>
        <w:rPr>
          <w:rFonts w:ascii="Century Gothic" w:hAnsi="Century Gothic" w:cs="Calibri"/>
        </w:rPr>
        <w:t xml:space="preserve">s, which involve an increase of </w:t>
      </w:r>
      <w:r w:rsidRPr="00503331">
        <w:rPr>
          <w:rFonts w:ascii="Century Gothic" w:hAnsi="Century Gothic" w:cs="Calibri"/>
        </w:rPr>
        <w:t>$</w:t>
      </w:r>
      <w:r w:rsidR="00D21315">
        <w:rPr>
          <w:rFonts w:ascii="Century Gothic" w:hAnsi="Century Gothic" w:cs="Calibri"/>
        </w:rPr>
        <w:t>4</w:t>
      </w:r>
      <w:r w:rsidR="00FA475B">
        <w:rPr>
          <w:rFonts w:ascii="Century Gothic" w:hAnsi="Century Gothic" w:cs="Calibri"/>
        </w:rPr>
        <w:t>82</w:t>
      </w:r>
      <w:r w:rsidR="00503331" w:rsidRPr="00503331">
        <w:rPr>
          <w:rFonts w:ascii="Century Gothic" w:hAnsi="Century Gothic" w:cs="Calibri"/>
        </w:rPr>
        <w:t xml:space="preserve"> </w:t>
      </w:r>
      <w:r w:rsidRPr="00503331">
        <w:rPr>
          <w:rFonts w:ascii="Century Gothic" w:hAnsi="Century Gothic" w:cs="Calibri"/>
        </w:rPr>
        <w:t>million in</w:t>
      </w:r>
      <w:r>
        <w:rPr>
          <w:rFonts w:ascii="Century Gothic" w:hAnsi="Century Gothic" w:cs="Calibri"/>
        </w:rPr>
        <w:t xml:space="preserve"> the revenues the company needs for its electric utility operations and capital investments</w:t>
      </w:r>
      <w:r w:rsidR="00FA4069">
        <w:rPr>
          <w:rFonts w:ascii="Century Gothic" w:hAnsi="Century Gothic" w:cs="Calibri"/>
        </w:rPr>
        <w:t xml:space="preserve">. </w:t>
      </w:r>
      <w:r w:rsidR="00FA4069" w:rsidRPr="00B66B77">
        <w:rPr>
          <w:rFonts w:ascii="Century Gothic" w:hAnsi="Century Gothic" w:cs="Calibri"/>
        </w:rPr>
        <w:t>This rate/bill increase is attributable to</w:t>
      </w:r>
      <w:r w:rsidR="000E3F74" w:rsidRPr="00B66B77">
        <w:rPr>
          <w:rFonts w:ascii="Century Gothic" w:hAnsi="Century Gothic" w:cs="Calibri"/>
        </w:rPr>
        <w:t xml:space="preserve"> rate increases </w:t>
      </w:r>
      <w:r w:rsidR="00F93365" w:rsidRPr="00B66B77">
        <w:rPr>
          <w:rFonts w:ascii="Century Gothic" w:hAnsi="Century Gothic" w:cs="Calibri"/>
        </w:rPr>
        <w:t xml:space="preserve">authorized in PG&amp;E’s 2020 General Rate Case </w:t>
      </w:r>
      <w:r w:rsidR="005C1F2D">
        <w:rPr>
          <w:rFonts w:ascii="Century Gothic" w:hAnsi="Century Gothic" w:cs="Calibri"/>
        </w:rPr>
        <w:t>(GRC)</w:t>
      </w:r>
      <w:r w:rsidR="000E3F74" w:rsidRPr="00B66B77">
        <w:rPr>
          <w:rFonts w:ascii="Century Gothic" w:hAnsi="Century Gothic" w:cs="Calibri"/>
        </w:rPr>
        <w:t xml:space="preserve">, </w:t>
      </w:r>
      <w:r w:rsidR="00FF1B68" w:rsidRPr="00B66B77">
        <w:rPr>
          <w:rFonts w:ascii="Century Gothic" w:hAnsi="Century Gothic" w:cs="Calibri"/>
        </w:rPr>
        <w:t>School Energy Efficiency program costs</w:t>
      </w:r>
      <w:r w:rsidR="005C1F2D">
        <w:rPr>
          <w:rFonts w:ascii="Century Gothic" w:hAnsi="Century Gothic" w:cs="Calibri"/>
        </w:rPr>
        <w:t xml:space="preserve"> established by legislation</w:t>
      </w:r>
      <w:r w:rsidR="00B51AC1" w:rsidRPr="00B66B77">
        <w:rPr>
          <w:rFonts w:ascii="Century Gothic" w:hAnsi="Century Gothic" w:cs="Calibri"/>
        </w:rPr>
        <w:t>,</w:t>
      </w:r>
      <w:r w:rsidR="00FF1B68" w:rsidRPr="00B66B77">
        <w:rPr>
          <w:rFonts w:ascii="Century Gothic" w:hAnsi="Century Gothic" w:cs="Calibri"/>
        </w:rPr>
        <w:t xml:space="preserve"> </w:t>
      </w:r>
      <w:r w:rsidR="00067C9F" w:rsidRPr="00B66B77">
        <w:rPr>
          <w:rFonts w:ascii="Century Gothic" w:hAnsi="Century Gothic" w:cs="Calibri"/>
        </w:rPr>
        <w:t>and adjustments to regulatory accounts</w:t>
      </w:r>
      <w:r w:rsidR="00FA4069" w:rsidRPr="00B66B77">
        <w:rPr>
          <w:rFonts w:ascii="Century Gothic" w:hAnsi="Century Gothic" w:cs="Calibri"/>
        </w:rPr>
        <w:t>.</w:t>
      </w:r>
      <w:r w:rsidR="00FA4069">
        <w:rPr>
          <w:rFonts w:ascii="Century Gothic" w:hAnsi="Century Gothic" w:cs="Calibri"/>
        </w:rPr>
        <w:t xml:space="preserve"> Dollar amounts shown below represent the increase or decrease in revenue</w:t>
      </w:r>
      <w:r w:rsidR="00B17FDC">
        <w:rPr>
          <w:rFonts w:ascii="Century Gothic" w:hAnsi="Century Gothic" w:cs="Calibri"/>
        </w:rPr>
        <w:t xml:space="preserve"> authorized to be</w:t>
      </w:r>
      <w:r w:rsidR="00FA4069">
        <w:rPr>
          <w:rFonts w:ascii="Century Gothic" w:hAnsi="Century Gothic" w:cs="Calibri"/>
        </w:rPr>
        <w:t xml:space="preserve"> collected from customers in </w:t>
      </w:r>
      <w:proofErr w:type="gramStart"/>
      <w:r w:rsidR="00FA4069">
        <w:rPr>
          <w:rFonts w:ascii="Century Gothic" w:hAnsi="Century Gothic" w:cs="Calibri"/>
        </w:rPr>
        <w:t>rates;</w:t>
      </w:r>
      <w:proofErr w:type="gramEnd"/>
      <w:r w:rsidR="00FA4069">
        <w:rPr>
          <w:rFonts w:ascii="Century Gothic" w:hAnsi="Century Gothic" w:cs="Calibri"/>
        </w:rPr>
        <w:t xml:space="preserve"> </w:t>
      </w:r>
      <w:r w:rsidR="00FA4069">
        <w:rPr>
          <w:rFonts w:ascii="Century Gothic" w:hAnsi="Century Gothic" w:cs="Calibri"/>
          <w:i/>
          <w:iCs/>
        </w:rPr>
        <w:t xml:space="preserve">not </w:t>
      </w:r>
      <w:r w:rsidR="00FA4069">
        <w:rPr>
          <w:rFonts w:ascii="Century Gothic" w:hAnsi="Century Gothic" w:cs="Calibri"/>
        </w:rPr>
        <w:t>total program costs:</w:t>
      </w:r>
    </w:p>
    <w:p w14:paraId="6177694F" w14:textId="77777777" w:rsidR="00664C8E" w:rsidRPr="00960036" w:rsidRDefault="00664C8E" w:rsidP="00664C8E">
      <w:pPr>
        <w:pStyle w:val="ListParagraph"/>
        <w:spacing w:before="120"/>
        <w:ind w:left="1080" w:firstLine="0"/>
        <w:rPr>
          <w:rFonts w:ascii="Century Gothic" w:hAnsi="Century Gothic" w:cs="Calibri"/>
          <w:sz w:val="14"/>
          <w:szCs w:val="14"/>
        </w:rPr>
      </w:pPr>
    </w:p>
    <w:p w14:paraId="63980A2D" w14:textId="0B0442BE" w:rsidR="00664C8E" w:rsidRDefault="00E3467E" w:rsidP="009C3CFA">
      <w:pPr>
        <w:pStyle w:val="ListParagraph"/>
        <w:numPr>
          <w:ilvl w:val="0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The primary drivers of the </w:t>
      </w:r>
      <w:r w:rsidR="00D9494E">
        <w:rPr>
          <w:rFonts w:ascii="Century Gothic" w:hAnsi="Century Gothic" w:cs="Calibri"/>
        </w:rPr>
        <w:t>March</w:t>
      </w:r>
      <w:r>
        <w:rPr>
          <w:rFonts w:ascii="Century Gothic" w:hAnsi="Century Gothic" w:cs="Calibri"/>
        </w:rPr>
        <w:t xml:space="preserve"> 1</w:t>
      </w:r>
      <w:r w:rsidRPr="00E3467E">
        <w:rPr>
          <w:rFonts w:ascii="Century Gothic" w:hAnsi="Century Gothic" w:cs="Calibri"/>
          <w:vertAlign w:val="superscript"/>
        </w:rPr>
        <w:t>st</w:t>
      </w:r>
      <w:r>
        <w:rPr>
          <w:rFonts w:ascii="Century Gothic" w:hAnsi="Century Gothic" w:cs="Calibri"/>
        </w:rPr>
        <w:t xml:space="preserve"> rate change are:</w:t>
      </w:r>
    </w:p>
    <w:p w14:paraId="5D35DC7E" w14:textId="73F5729F" w:rsidR="00216D80" w:rsidRDefault="00B17FDC" w:rsidP="006E4AFD">
      <w:pPr>
        <w:pStyle w:val="ListParagraph"/>
        <w:numPr>
          <w:ilvl w:val="1"/>
          <w:numId w:val="19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2020 GRC Decision (D.) 20-12-005 ($858 million):  </w:t>
      </w:r>
      <w:r w:rsidR="00392B34">
        <w:rPr>
          <w:rFonts w:ascii="Century Gothic" w:hAnsi="Century Gothic" w:cs="Calibri"/>
        </w:rPr>
        <w:t>In December 2020, the Commissio</w:t>
      </w:r>
      <w:r w:rsidR="00F9574D">
        <w:rPr>
          <w:rFonts w:ascii="Century Gothic" w:hAnsi="Century Gothic" w:cs="Calibri"/>
        </w:rPr>
        <w:t xml:space="preserve">n </w:t>
      </w:r>
      <w:r w:rsidR="007E41FE">
        <w:rPr>
          <w:rFonts w:ascii="Century Gothic" w:hAnsi="Century Gothic" w:cs="Calibri"/>
        </w:rPr>
        <w:t xml:space="preserve">authorized additional funding </w:t>
      </w:r>
      <w:r w:rsidR="00AA1BBD">
        <w:rPr>
          <w:rFonts w:ascii="Century Gothic" w:hAnsi="Century Gothic" w:cs="Calibri"/>
        </w:rPr>
        <w:t>($</w:t>
      </w:r>
      <w:r w:rsidR="002D0D49">
        <w:rPr>
          <w:rFonts w:ascii="Century Gothic" w:hAnsi="Century Gothic" w:cs="Calibri"/>
        </w:rPr>
        <w:t>8</w:t>
      </w:r>
      <w:r w:rsidR="00CF3459">
        <w:rPr>
          <w:rFonts w:ascii="Century Gothic" w:hAnsi="Century Gothic" w:cs="Calibri"/>
        </w:rPr>
        <w:t>5</w:t>
      </w:r>
      <w:r w:rsidR="002D0D49">
        <w:rPr>
          <w:rFonts w:ascii="Century Gothic" w:hAnsi="Century Gothic" w:cs="Calibri"/>
        </w:rPr>
        <w:t>8</w:t>
      </w:r>
      <w:r w:rsidR="00AA1BBD">
        <w:rPr>
          <w:rFonts w:ascii="Century Gothic" w:hAnsi="Century Gothic" w:cs="Calibri"/>
        </w:rPr>
        <w:t xml:space="preserve"> million</w:t>
      </w:r>
      <w:r w:rsidR="00EB2D32">
        <w:rPr>
          <w:rFonts w:ascii="Century Gothic" w:hAnsi="Century Gothic" w:cs="Calibri"/>
        </w:rPr>
        <w:t xml:space="preserve">) </w:t>
      </w:r>
      <w:r w:rsidR="007E41FE">
        <w:rPr>
          <w:rFonts w:ascii="Century Gothic" w:hAnsi="Century Gothic" w:cs="Calibri"/>
        </w:rPr>
        <w:t xml:space="preserve">to support continuing safety and compliance programs to mitigate wildfire risks, additional </w:t>
      </w:r>
      <w:r w:rsidR="00477880">
        <w:rPr>
          <w:rFonts w:ascii="Century Gothic" w:hAnsi="Century Gothic" w:cs="Calibri"/>
        </w:rPr>
        <w:t xml:space="preserve">mitigation programs identified through the Risk Assessment </w:t>
      </w:r>
      <w:r w:rsidR="000F7A81">
        <w:rPr>
          <w:rFonts w:ascii="Century Gothic" w:hAnsi="Century Gothic" w:cs="Calibri"/>
        </w:rPr>
        <w:t xml:space="preserve">Mitigation Phase, and </w:t>
      </w:r>
      <w:r w:rsidR="00AC437B">
        <w:rPr>
          <w:rFonts w:ascii="Century Gothic" w:hAnsi="Century Gothic" w:cs="Calibri"/>
        </w:rPr>
        <w:t xml:space="preserve">Community Wildfire Safety Program </w:t>
      </w:r>
      <w:r w:rsidR="001128BD">
        <w:rPr>
          <w:rFonts w:ascii="Century Gothic" w:hAnsi="Century Gothic" w:cs="Calibri"/>
        </w:rPr>
        <w:t xml:space="preserve">(CWSP) </w:t>
      </w:r>
      <w:r w:rsidR="00D75A4E">
        <w:rPr>
          <w:rFonts w:ascii="Century Gothic" w:hAnsi="Century Gothic" w:cs="Calibri"/>
        </w:rPr>
        <w:t xml:space="preserve">operation and maintenance activities and capital costs. </w:t>
      </w:r>
      <w:r w:rsidR="001128BD">
        <w:rPr>
          <w:rFonts w:ascii="Century Gothic" w:hAnsi="Century Gothic" w:cs="Calibri"/>
        </w:rPr>
        <w:t>CWSP include</w:t>
      </w:r>
      <w:r w:rsidR="00C4250F">
        <w:rPr>
          <w:rFonts w:ascii="Century Gothic" w:hAnsi="Century Gothic" w:cs="Calibri"/>
        </w:rPr>
        <w:t xml:space="preserve">s activities such as enhanced vegetation management, system hardening, and enhance operational </w:t>
      </w:r>
      <w:r w:rsidR="00AA1BBD">
        <w:rPr>
          <w:rFonts w:ascii="Century Gothic" w:hAnsi="Century Gothic" w:cs="Calibri"/>
        </w:rPr>
        <w:t xml:space="preserve">practices. </w:t>
      </w:r>
    </w:p>
    <w:p w14:paraId="67C032D7" w14:textId="2169B016" w:rsidR="00CF7C12" w:rsidRDefault="00B17FDC" w:rsidP="006E4AFD">
      <w:pPr>
        <w:pStyle w:val="ListParagraph"/>
        <w:numPr>
          <w:ilvl w:val="1"/>
          <w:numId w:val="19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Assembly Bill (AB 841) School Energy Efficiency Stimulus Program ($76.</w:t>
      </w:r>
      <w:r w:rsidR="00135172">
        <w:rPr>
          <w:rFonts w:ascii="Century Gothic" w:hAnsi="Century Gothic" w:cs="Calibri"/>
        </w:rPr>
        <w:t>8</w:t>
      </w:r>
      <w:r>
        <w:rPr>
          <w:rFonts w:ascii="Century Gothic" w:hAnsi="Century Gothic" w:cs="Calibri"/>
        </w:rPr>
        <w:t xml:space="preserve"> million):  </w:t>
      </w:r>
      <w:r w:rsidR="009E7A9A">
        <w:rPr>
          <w:rFonts w:ascii="Century Gothic" w:hAnsi="Century Gothic" w:cs="Calibri"/>
        </w:rPr>
        <w:t xml:space="preserve">D.21-01-004 authorized PG&amp;E to </w:t>
      </w:r>
      <w:r w:rsidR="009F1BDE">
        <w:rPr>
          <w:rFonts w:ascii="Century Gothic" w:hAnsi="Century Gothic" w:cs="Calibri"/>
        </w:rPr>
        <w:t>i</w:t>
      </w:r>
      <w:r w:rsidR="00DD2300">
        <w:rPr>
          <w:rFonts w:ascii="Century Gothic" w:hAnsi="Century Gothic" w:cs="Calibri"/>
        </w:rPr>
        <w:t xml:space="preserve">mplement </w:t>
      </w:r>
      <w:r>
        <w:rPr>
          <w:rFonts w:ascii="Century Gothic" w:hAnsi="Century Gothic" w:cs="Calibri"/>
        </w:rPr>
        <w:t xml:space="preserve">this program, </w:t>
      </w:r>
      <w:r w:rsidR="000076F6">
        <w:rPr>
          <w:rFonts w:ascii="Century Gothic" w:hAnsi="Century Gothic" w:cs="Calibri"/>
        </w:rPr>
        <w:t xml:space="preserve">resulting in </w:t>
      </w:r>
      <w:r w:rsidR="005C1F2D">
        <w:rPr>
          <w:rFonts w:ascii="Century Gothic" w:hAnsi="Century Gothic" w:cs="Calibri"/>
        </w:rPr>
        <w:t>a revenue</w:t>
      </w:r>
      <w:r w:rsidR="00BD5089">
        <w:rPr>
          <w:rFonts w:ascii="Century Gothic" w:hAnsi="Century Gothic" w:cs="Calibri"/>
        </w:rPr>
        <w:t xml:space="preserve"> increase of </w:t>
      </w:r>
      <w:r w:rsidR="00432809">
        <w:rPr>
          <w:rFonts w:ascii="Century Gothic" w:hAnsi="Century Gothic" w:cs="Calibri"/>
        </w:rPr>
        <w:t>$76.</w:t>
      </w:r>
      <w:r w:rsidR="00135172">
        <w:rPr>
          <w:rFonts w:ascii="Century Gothic" w:hAnsi="Century Gothic" w:cs="Calibri"/>
        </w:rPr>
        <w:t xml:space="preserve">8 </w:t>
      </w:r>
      <w:r w:rsidR="00BD5089">
        <w:rPr>
          <w:rFonts w:ascii="Century Gothic" w:hAnsi="Century Gothic" w:cs="Calibri"/>
        </w:rPr>
        <w:t>million.</w:t>
      </w:r>
    </w:p>
    <w:p w14:paraId="6A8B6B5C" w14:textId="6E9506EB" w:rsidR="003A1190" w:rsidRDefault="003A1190" w:rsidP="006E4AFD">
      <w:pPr>
        <w:pStyle w:val="ListParagraph"/>
        <w:numPr>
          <w:ilvl w:val="1"/>
          <w:numId w:val="19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lastRenderedPageBreak/>
        <w:t>Adjustments to regulatory accounts “Balancing accounts”</w:t>
      </w:r>
      <w:r w:rsidR="00D66101">
        <w:rPr>
          <w:rFonts w:ascii="Century Gothic" w:hAnsi="Century Gothic" w:cs="Calibri"/>
        </w:rPr>
        <w:t xml:space="preserve"> ($10</w:t>
      </w:r>
      <w:r w:rsidR="00EC588B">
        <w:rPr>
          <w:rFonts w:ascii="Century Gothic" w:hAnsi="Century Gothic" w:cs="Calibri"/>
        </w:rPr>
        <w:t>4</w:t>
      </w:r>
      <w:r w:rsidR="00D66101">
        <w:rPr>
          <w:rFonts w:ascii="Century Gothic" w:hAnsi="Century Gothic" w:cs="Calibri"/>
        </w:rPr>
        <w:t xml:space="preserve"> million):</w:t>
      </w:r>
    </w:p>
    <w:p w14:paraId="01A2A901" w14:textId="62649847" w:rsidR="003A1190" w:rsidRDefault="003A1190" w:rsidP="003A1190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 w:rsidRPr="00A42786">
        <w:rPr>
          <w:rFonts w:ascii="Century Gothic" w:hAnsi="Century Gothic" w:cs="Calibri"/>
        </w:rPr>
        <w:t xml:space="preserve">Generally speaking, regulatory and balancing accounts track the difference between the amount the CPUC authorized a utility to </w:t>
      </w:r>
      <w:r w:rsidRPr="003C3C6B">
        <w:rPr>
          <w:rFonts w:ascii="Century Gothic" w:hAnsi="Century Gothic" w:cs="Calibri"/>
        </w:rPr>
        <w:t xml:space="preserve">collect from customers through rates for a particular service, project, </w:t>
      </w:r>
      <w:r w:rsidRPr="00736ED1">
        <w:rPr>
          <w:rFonts w:ascii="Century Gothic" w:hAnsi="Century Gothic" w:cs="Calibri"/>
        </w:rPr>
        <w:t>etc., a</w:t>
      </w:r>
      <w:r w:rsidRPr="00404510">
        <w:rPr>
          <w:rFonts w:ascii="Century Gothic" w:hAnsi="Century Gothic" w:cs="Calibri"/>
        </w:rPr>
        <w:t>nd how much the utility actually collected</w:t>
      </w:r>
      <w:r>
        <w:rPr>
          <w:rFonts w:ascii="Century Gothic" w:hAnsi="Century Gothic" w:cs="Calibri"/>
        </w:rPr>
        <w:t xml:space="preserve"> for it</w:t>
      </w:r>
      <w:r w:rsidRPr="00736ED1">
        <w:rPr>
          <w:rFonts w:ascii="Century Gothic" w:hAnsi="Century Gothic" w:cs="Calibri"/>
        </w:rPr>
        <w:t xml:space="preserve"> in rates from customers. </w:t>
      </w:r>
      <w:r w:rsidRPr="00A42786">
        <w:rPr>
          <w:rFonts w:ascii="Century Gothic" w:hAnsi="Century Gothic" w:cs="Calibri"/>
        </w:rPr>
        <w:t xml:space="preserve">In 2020, </w:t>
      </w:r>
      <w:r w:rsidR="00EE0FD2">
        <w:rPr>
          <w:rFonts w:ascii="Century Gothic" w:hAnsi="Century Gothic" w:cs="Calibri"/>
        </w:rPr>
        <w:t>PG&amp;E under-collected $</w:t>
      </w:r>
      <w:r w:rsidR="00135172">
        <w:rPr>
          <w:rFonts w:ascii="Century Gothic" w:hAnsi="Century Gothic" w:cs="Calibri"/>
        </w:rPr>
        <w:t xml:space="preserve">64 </w:t>
      </w:r>
      <w:r w:rsidR="00E04FE9">
        <w:rPr>
          <w:rFonts w:ascii="Century Gothic" w:hAnsi="Century Gothic" w:cs="Calibri"/>
        </w:rPr>
        <w:t xml:space="preserve">million for insurance costs and $40 million </w:t>
      </w:r>
      <w:r w:rsidR="00017373">
        <w:rPr>
          <w:rFonts w:ascii="Century Gothic" w:hAnsi="Century Gothic" w:cs="Calibri"/>
        </w:rPr>
        <w:t xml:space="preserve">for residential rate reform program expenses. </w:t>
      </w:r>
    </w:p>
    <w:p w14:paraId="59208FAF" w14:textId="77777777" w:rsidR="00D7029F" w:rsidRDefault="00D7029F" w:rsidP="00D7029F">
      <w:pPr>
        <w:pStyle w:val="ListParagraph"/>
        <w:spacing w:before="140"/>
        <w:ind w:left="1800" w:firstLine="0"/>
        <w:rPr>
          <w:rFonts w:ascii="Century Gothic" w:hAnsi="Century Gothic" w:cs="Calibri"/>
        </w:rPr>
      </w:pPr>
    </w:p>
    <w:p w14:paraId="1EDC95DD" w14:textId="3E660482" w:rsidR="006B2DEE" w:rsidRDefault="00D66101" w:rsidP="006E4AFD">
      <w:pPr>
        <w:pStyle w:val="ListParagraph"/>
        <w:numPr>
          <w:ilvl w:val="1"/>
          <w:numId w:val="3"/>
        </w:numPr>
        <w:spacing w:before="140"/>
        <w:ind w:left="108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The increases to authorized revenues described above are mitigated by s</w:t>
      </w:r>
      <w:r w:rsidR="00E2505C">
        <w:rPr>
          <w:rFonts w:ascii="Century Gothic" w:hAnsi="Century Gothic" w:cs="Calibri"/>
        </w:rPr>
        <w:t xml:space="preserve">everal factors </w:t>
      </w:r>
      <w:r>
        <w:rPr>
          <w:rFonts w:ascii="Century Gothic" w:hAnsi="Century Gothic" w:cs="Calibri"/>
        </w:rPr>
        <w:t xml:space="preserve">that </w:t>
      </w:r>
      <w:r w:rsidR="009D11DF">
        <w:rPr>
          <w:rFonts w:ascii="Century Gothic" w:hAnsi="Century Gothic" w:cs="Calibri"/>
        </w:rPr>
        <w:t xml:space="preserve">reduced PG&amp;E’s </w:t>
      </w:r>
      <w:r w:rsidR="00B17FDC">
        <w:rPr>
          <w:rFonts w:ascii="Century Gothic" w:hAnsi="Century Gothic" w:cs="Calibri"/>
        </w:rPr>
        <w:t xml:space="preserve">overall costs </w:t>
      </w:r>
      <w:r w:rsidR="009D11DF">
        <w:rPr>
          <w:rFonts w:ascii="Century Gothic" w:hAnsi="Century Gothic" w:cs="Calibri"/>
        </w:rPr>
        <w:t xml:space="preserve"> for 2020 and 2021, including a </w:t>
      </w:r>
      <w:r w:rsidR="0079031D">
        <w:rPr>
          <w:rFonts w:ascii="Century Gothic" w:hAnsi="Century Gothic" w:cs="Calibri"/>
        </w:rPr>
        <w:t xml:space="preserve">decrease in pension cost, lower </w:t>
      </w:r>
      <w:r w:rsidR="004D1862">
        <w:rPr>
          <w:rFonts w:ascii="Century Gothic" w:hAnsi="Century Gothic" w:cs="Calibri"/>
        </w:rPr>
        <w:t>borrowing cost</w:t>
      </w:r>
      <w:r w:rsidR="0079031D">
        <w:rPr>
          <w:rFonts w:ascii="Century Gothic" w:hAnsi="Century Gothic" w:cs="Calibri"/>
        </w:rPr>
        <w:t>, and a</w:t>
      </w:r>
      <w:r w:rsidR="006E4AFD">
        <w:rPr>
          <w:rFonts w:ascii="Century Gothic" w:hAnsi="Century Gothic" w:cs="Calibri"/>
        </w:rPr>
        <w:t xml:space="preserve"> significant</w:t>
      </w:r>
      <w:r w:rsidR="0079031D">
        <w:rPr>
          <w:rFonts w:ascii="Century Gothic" w:hAnsi="Century Gothic" w:cs="Calibri"/>
        </w:rPr>
        <w:t xml:space="preserve"> over-collection in </w:t>
      </w:r>
      <w:r w:rsidR="006265DE">
        <w:rPr>
          <w:rFonts w:ascii="Century Gothic" w:hAnsi="Century Gothic" w:cs="Calibri"/>
        </w:rPr>
        <w:t>Federal Energy Regulatory Commission (</w:t>
      </w:r>
      <w:r w:rsidR="0079031D">
        <w:rPr>
          <w:rFonts w:ascii="Century Gothic" w:hAnsi="Century Gothic" w:cs="Calibri"/>
        </w:rPr>
        <w:t>FERC</w:t>
      </w:r>
      <w:r w:rsidR="006265DE">
        <w:rPr>
          <w:rFonts w:ascii="Century Gothic" w:hAnsi="Century Gothic" w:cs="Calibri"/>
        </w:rPr>
        <w:t>)</w:t>
      </w:r>
      <w:r w:rsidR="0079031D">
        <w:rPr>
          <w:rFonts w:ascii="Century Gothic" w:hAnsi="Century Gothic" w:cs="Calibri"/>
        </w:rPr>
        <w:t xml:space="preserve"> transmission </w:t>
      </w:r>
      <w:r w:rsidR="00573664">
        <w:rPr>
          <w:rFonts w:ascii="Century Gothic" w:hAnsi="Century Gothic" w:cs="Calibri"/>
        </w:rPr>
        <w:t xml:space="preserve">rates. </w:t>
      </w:r>
    </w:p>
    <w:p w14:paraId="6DD0500F" w14:textId="1D7B2345" w:rsidR="00F46C2D" w:rsidRDefault="00EA2C1D" w:rsidP="00BD5089">
      <w:pPr>
        <w:pStyle w:val="ListParagraph"/>
        <w:numPr>
          <w:ilvl w:val="1"/>
          <w:numId w:val="21"/>
        </w:numPr>
        <w:spacing w:before="140"/>
        <w:ind w:left="180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PG&amp;</w:t>
      </w:r>
      <w:r w:rsidR="00F00D52">
        <w:rPr>
          <w:rFonts w:ascii="Century Gothic" w:hAnsi="Century Gothic" w:cs="Calibri"/>
        </w:rPr>
        <w:t xml:space="preserve">E </w:t>
      </w:r>
      <w:r w:rsidR="005C2FB6">
        <w:rPr>
          <w:rFonts w:ascii="Century Gothic" w:hAnsi="Century Gothic" w:cs="Calibri"/>
        </w:rPr>
        <w:t xml:space="preserve">maintains a </w:t>
      </w:r>
      <w:r w:rsidR="00F254AD">
        <w:rPr>
          <w:rFonts w:ascii="Century Gothic" w:hAnsi="Century Gothic" w:cs="Calibri"/>
        </w:rPr>
        <w:t xml:space="preserve">Transmission Access Charge Balancing Account Adjustment (TACBAA) to record the difference </w:t>
      </w:r>
      <w:r w:rsidR="00196115">
        <w:rPr>
          <w:rFonts w:ascii="Century Gothic" w:hAnsi="Century Gothic" w:cs="Calibri"/>
        </w:rPr>
        <w:t xml:space="preserve">between the </w:t>
      </w:r>
      <w:r w:rsidR="002B1411">
        <w:rPr>
          <w:rFonts w:ascii="Century Gothic" w:hAnsi="Century Gothic" w:cs="Calibri"/>
        </w:rPr>
        <w:t xml:space="preserve">pass-through transmission </w:t>
      </w:r>
      <w:r w:rsidR="00196115">
        <w:rPr>
          <w:rFonts w:ascii="Century Gothic" w:hAnsi="Century Gothic" w:cs="Calibri"/>
        </w:rPr>
        <w:t xml:space="preserve">rate it </w:t>
      </w:r>
      <w:r w:rsidR="00903401">
        <w:rPr>
          <w:rFonts w:ascii="Century Gothic" w:hAnsi="Century Gothic" w:cs="Calibri"/>
        </w:rPr>
        <w:t>bill</w:t>
      </w:r>
      <w:r w:rsidR="00196115">
        <w:rPr>
          <w:rFonts w:ascii="Century Gothic" w:hAnsi="Century Gothic" w:cs="Calibri"/>
        </w:rPr>
        <w:t xml:space="preserve">s </w:t>
      </w:r>
      <w:r w:rsidR="002B1411">
        <w:rPr>
          <w:rFonts w:ascii="Century Gothic" w:hAnsi="Century Gothic" w:cs="Calibri"/>
        </w:rPr>
        <w:t xml:space="preserve">customers and </w:t>
      </w:r>
      <w:r w:rsidR="00DA5726">
        <w:rPr>
          <w:rFonts w:ascii="Century Gothic" w:hAnsi="Century Gothic" w:cs="Calibri"/>
        </w:rPr>
        <w:t xml:space="preserve">the </w:t>
      </w:r>
      <w:r w:rsidR="00C240B3">
        <w:rPr>
          <w:rFonts w:ascii="Century Gothic" w:hAnsi="Century Gothic" w:cs="Calibri"/>
        </w:rPr>
        <w:t>rate set by FERC</w:t>
      </w:r>
      <w:r w:rsidR="00105A3A">
        <w:rPr>
          <w:rFonts w:ascii="Century Gothic" w:hAnsi="Century Gothic" w:cs="Calibri"/>
        </w:rPr>
        <w:t xml:space="preserve">. </w:t>
      </w:r>
      <w:r w:rsidR="003B7915">
        <w:rPr>
          <w:rFonts w:ascii="Century Gothic" w:hAnsi="Century Gothic" w:cs="Calibri"/>
        </w:rPr>
        <w:t xml:space="preserve">In February 2021, </w:t>
      </w:r>
      <w:r w:rsidR="008876BB">
        <w:rPr>
          <w:rFonts w:ascii="Century Gothic" w:hAnsi="Century Gothic" w:cs="Calibri"/>
        </w:rPr>
        <w:t xml:space="preserve">FERC </w:t>
      </w:r>
      <w:r w:rsidR="005D74E6">
        <w:rPr>
          <w:rFonts w:ascii="Century Gothic" w:hAnsi="Century Gothic" w:cs="Calibri"/>
        </w:rPr>
        <w:t xml:space="preserve">accepted </w:t>
      </w:r>
      <w:r w:rsidR="00105A3A">
        <w:rPr>
          <w:rFonts w:ascii="Century Gothic" w:hAnsi="Century Gothic" w:cs="Calibri"/>
        </w:rPr>
        <w:t>PG&amp;E</w:t>
      </w:r>
      <w:r w:rsidR="005D74E6">
        <w:rPr>
          <w:rFonts w:ascii="Century Gothic" w:hAnsi="Century Gothic" w:cs="Calibri"/>
        </w:rPr>
        <w:t>’s</w:t>
      </w:r>
      <w:r w:rsidR="00105A3A">
        <w:rPr>
          <w:rFonts w:ascii="Century Gothic" w:hAnsi="Century Gothic" w:cs="Calibri"/>
        </w:rPr>
        <w:t xml:space="preserve"> </w:t>
      </w:r>
      <w:r w:rsidR="00F00D52">
        <w:rPr>
          <w:rFonts w:ascii="Century Gothic" w:hAnsi="Century Gothic" w:cs="Calibri"/>
        </w:rPr>
        <w:t xml:space="preserve">annual updates to the </w:t>
      </w:r>
      <w:r w:rsidR="00105A3A">
        <w:rPr>
          <w:rFonts w:ascii="Century Gothic" w:hAnsi="Century Gothic" w:cs="Calibri"/>
        </w:rPr>
        <w:t>TACBAA</w:t>
      </w:r>
      <w:r w:rsidR="005A082B">
        <w:rPr>
          <w:rFonts w:ascii="Century Gothic" w:hAnsi="Century Gothic" w:cs="Calibri"/>
        </w:rPr>
        <w:t>, which</w:t>
      </w:r>
      <w:r w:rsidR="00F00D52">
        <w:rPr>
          <w:rFonts w:ascii="Century Gothic" w:hAnsi="Century Gothic" w:cs="Calibri"/>
        </w:rPr>
        <w:t xml:space="preserve"> </w:t>
      </w:r>
      <w:r w:rsidR="000D501A">
        <w:rPr>
          <w:rFonts w:ascii="Century Gothic" w:hAnsi="Century Gothic" w:cs="Calibri"/>
        </w:rPr>
        <w:t xml:space="preserve">resulted in a reduction </w:t>
      </w:r>
      <w:r w:rsidR="00883869">
        <w:rPr>
          <w:rFonts w:ascii="Century Gothic" w:hAnsi="Century Gothic" w:cs="Calibri"/>
        </w:rPr>
        <w:t>of $41</w:t>
      </w:r>
      <w:r w:rsidR="007C38C4">
        <w:rPr>
          <w:rFonts w:ascii="Century Gothic" w:hAnsi="Century Gothic" w:cs="Calibri"/>
        </w:rPr>
        <w:t>3</w:t>
      </w:r>
      <w:r w:rsidR="00883869">
        <w:rPr>
          <w:rFonts w:ascii="Century Gothic" w:hAnsi="Century Gothic" w:cs="Calibri"/>
        </w:rPr>
        <w:t xml:space="preserve"> million in revenue</w:t>
      </w:r>
      <w:r w:rsidR="000E063C">
        <w:rPr>
          <w:rFonts w:ascii="Century Gothic" w:hAnsi="Century Gothic" w:cs="Calibri"/>
        </w:rPr>
        <w:t xml:space="preserve"> needed </w:t>
      </w:r>
      <w:r w:rsidR="005A082B">
        <w:rPr>
          <w:rFonts w:ascii="Century Gothic" w:hAnsi="Century Gothic" w:cs="Calibri"/>
        </w:rPr>
        <w:t xml:space="preserve">for </w:t>
      </w:r>
      <w:r w:rsidR="003D3FDE">
        <w:rPr>
          <w:rFonts w:ascii="Century Gothic" w:hAnsi="Century Gothic" w:cs="Calibri"/>
        </w:rPr>
        <w:t>Commission jurisdictional rates</w:t>
      </w:r>
      <w:r w:rsidR="00883869">
        <w:rPr>
          <w:rFonts w:ascii="Century Gothic" w:hAnsi="Century Gothic" w:cs="Calibri"/>
        </w:rPr>
        <w:t xml:space="preserve">. </w:t>
      </w:r>
    </w:p>
    <w:p w14:paraId="3F6BB9E0" w14:textId="39E1FCC4" w:rsidR="006368A6" w:rsidRDefault="00512C4B" w:rsidP="00BD5089">
      <w:pPr>
        <w:pStyle w:val="ListParagraph"/>
        <w:numPr>
          <w:ilvl w:val="1"/>
          <w:numId w:val="21"/>
        </w:numPr>
        <w:spacing w:before="140"/>
        <w:ind w:left="180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PG&amp;E’s exit from </w:t>
      </w:r>
      <w:r w:rsidR="006B3BF4">
        <w:rPr>
          <w:rFonts w:ascii="Century Gothic" w:hAnsi="Century Gothic" w:cs="Calibri"/>
        </w:rPr>
        <w:t xml:space="preserve">Chapter 11 through its Plan of Reorganization </w:t>
      </w:r>
      <w:r w:rsidR="00984A73">
        <w:rPr>
          <w:rFonts w:ascii="Century Gothic" w:hAnsi="Century Gothic" w:cs="Calibri"/>
        </w:rPr>
        <w:t xml:space="preserve">allowed the utility </w:t>
      </w:r>
      <w:r w:rsidR="005A55D7">
        <w:rPr>
          <w:rFonts w:ascii="Century Gothic" w:hAnsi="Century Gothic" w:cs="Calibri"/>
        </w:rPr>
        <w:t>access to lower long-term deb</w:t>
      </w:r>
      <w:r w:rsidR="00A86671">
        <w:rPr>
          <w:rFonts w:ascii="Century Gothic" w:hAnsi="Century Gothic" w:cs="Calibri"/>
        </w:rPr>
        <w:t>t</w:t>
      </w:r>
      <w:r w:rsidR="000C5FD9">
        <w:rPr>
          <w:rFonts w:ascii="Century Gothic" w:hAnsi="Century Gothic" w:cs="Calibri"/>
        </w:rPr>
        <w:t>.</w:t>
      </w:r>
      <w:r w:rsidR="00181650">
        <w:rPr>
          <w:rFonts w:ascii="Century Gothic" w:hAnsi="Century Gothic" w:cs="Calibri"/>
        </w:rPr>
        <w:t xml:space="preserve"> PG&amp;E’s current cost of long</w:t>
      </w:r>
      <w:r w:rsidR="004C129A">
        <w:rPr>
          <w:rFonts w:ascii="Century Gothic" w:hAnsi="Century Gothic" w:cs="Calibri"/>
        </w:rPr>
        <w:t>-term debt is 4.17%</w:t>
      </w:r>
      <w:r w:rsidR="008C1B1A">
        <w:rPr>
          <w:rFonts w:ascii="Century Gothic" w:hAnsi="Century Gothic" w:cs="Calibri"/>
        </w:rPr>
        <w:t xml:space="preserve">, </w:t>
      </w:r>
      <w:r w:rsidR="00654C5C">
        <w:rPr>
          <w:rFonts w:ascii="Century Gothic" w:hAnsi="Century Gothic" w:cs="Calibri"/>
        </w:rPr>
        <w:t xml:space="preserve">resulting </w:t>
      </w:r>
      <w:r w:rsidR="00965C27">
        <w:rPr>
          <w:rFonts w:ascii="Century Gothic" w:hAnsi="Century Gothic" w:cs="Calibri"/>
        </w:rPr>
        <w:t xml:space="preserve">in a </w:t>
      </w:r>
      <w:r w:rsidR="000E063C">
        <w:rPr>
          <w:rFonts w:ascii="Century Gothic" w:hAnsi="Century Gothic" w:cs="Calibri"/>
        </w:rPr>
        <w:t>cost</w:t>
      </w:r>
      <w:r w:rsidR="009831DB">
        <w:rPr>
          <w:rFonts w:ascii="Century Gothic" w:hAnsi="Century Gothic" w:cs="Calibri"/>
        </w:rPr>
        <w:t xml:space="preserve"> reduction of $128.7 million. </w:t>
      </w:r>
    </w:p>
    <w:p w14:paraId="298A0A6F" w14:textId="05FF844D" w:rsidR="00E94578" w:rsidRPr="00AD4CEE" w:rsidRDefault="009D45A6" w:rsidP="00BD5089">
      <w:pPr>
        <w:pStyle w:val="ListParagraph"/>
        <w:numPr>
          <w:ilvl w:val="1"/>
          <w:numId w:val="21"/>
        </w:numPr>
        <w:spacing w:before="140"/>
        <w:ind w:left="180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D.</w:t>
      </w:r>
      <w:r w:rsidR="00BA2C1B">
        <w:rPr>
          <w:rFonts w:ascii="Century Gothic" w:hAnsi="Century Gothic" w:cs="Calibri"/>
        </w:rPr>
        <w:t xml:space="preserve">20-12-005 in PG&amp;E’s 2020 GRC </w:t>
      </w:r>
      <w:r w:rsidR="000D59A2">
        <w:rPr>
          <w:rFonts w:ascii="Century Gothic" w:hAnsi="Century Gothic" w:cs="Calibri"/>
        </w:rPr>
        <w:t xml:space="preserve">reduced </w:t>
      </w:r>
      <w:r w:rsidR="007D7A6F">
        <w:rPr>
          <w:rFonts w:ascii="Century Gothic" w:hAnsi="Century Gothic" w:cs="Calibri"/>
        </w:rPr>
        <w:t>pension cost</w:t>
      </w:r>
      <w:r w:rsidR="00A247D4">
        <w:rPr>
          <w:rFonts w:ascii="Century Gothic" w:hAnsi="Century Gothic" w:cs="Calibri"/>
        </w:rPr>
        <w:t xml:space="preserve"> in 2020</w:t>
      </w:r>
      <w:r w:rsidR="007D7A6F">
        <w:rPr>
          <w:rFonts w:ascii="Century Gothic" w:hAnsi="Century Gothic" w:cs="Calibri"/>
        </w:rPr>
        <w:t xml:space="preserve"> by </w:t>
      </w:r>
      <w:r w:rsidR="00A247D4">
        <w:rPr>
          <w:rFonts w:ascii="Century Gothic" w:hAnsi="Century Gothic" w:cs="Calibri"/>
        </w:rPr>
        <w:t xml:space="preserve">$34.1 million. </w:t>
      </w:r>
    </w:p>
    <w:p w14:paraId="3044775E" w14:textId="520448A6" w:rsidR="007E0E3A" w:rsidRPr="00E94578" w:rsidRDefault="003C3C6B" w:rsidP="00E94578">
      <w:pPr>
        <w:spacing w:before="140"/>
        <w:rPr>
          <w:rFonts w:ascii="Century Gothic" w:hAnsi="Century Gothic" w:cs="Calibri"/>
        </w:rPr>
      </w:pPr>
      <w:r w:rsidRPr="00E94578">
        <w:rPr>
          <w:rFonts w:ascii="Century Gothic" w:hAnsi="Century Gothic" w:cs="Calibri"/>
        </w:rPr>
        <w:t xml:space="preserve"> </w:t>
      </w:r>
    </w:p>
    <w:p w14:paraId="4CB23E21" w14:textId="5AADAD23" w:rsidR="00777EF6" w:rsidRPr="00AC4CD3" w:rsidRDefault="00777EF6" w:rsidP="00B26674">
      <w:pPr>
        <w:pStyle w:val="ListParagraph"/>
        <w:spacing w:before="140"/>
        <w:ind w:left="1800" w:firstLine="0"/>
        <w:rPr>
          <w:rFonts w:ascii="Century Gothic" w:hAnsi="Century Gothic" w:cs="Calibri"/>
          <w:highlight w:val="yellow"/>
        </w:rPr>
      </w:pPr>
    </w:p>
    <w:sectPr w:rsidR="00777EF6" w:rsidRPr="00AC4CD3" w:rsidSect="005179C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C6EBB" w14:textId="77777777" w:rsidR="00137CDB" w:rsidRDefault="00137CDB">
      <w:r>
        <w:separator/>
      </w:r>
    </w:p>
    <w:p w14:paraId="5D20F3E4" w14:textId="77777777" w:rsidR="00137CDB" w:rsidRDefault="00137CDB"/>
  </w:endnote>
  <w:endnote w:type="continuationSeparator" w:id="0">
    <w:p w14:paraId="39BBDB62" w14:textId="77777777" w:rsidR="00137CDB" w:rsidRDefault="00137CDB">
      <w:r>
        <w:continuationSeparator/>
      </w:r>
    </w:p>
    <w:p w14:paraId="76DC09FA" w14:textId="77777777" w:rsidR="00137CDB" w:rsidRDefault="00137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ECE348" w14:textId="77777777" w:rsidR="00A42FDB" w:rsidRDefault="00137CDB" w:rsidP="00AA5D1C">
        <w:pPr>
          <w:pStyle w:val="Footer"/>
          <w:rPr>
            <w:rStyle w:val="PageNumber"/>
          </w:rPr>
        </w:pPr>
      </w:p>
    </w:sdtContent>
  </w:sdt>
  <w:p w14:paraId="3BD7F442" w14:textId="77777777"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D289E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="008C068D">
          <w:rPr>
            <w:rFonts w:ascii="Garamond" w:hAnsi="Garamond"/>
            <w:noProof/>
          </w:rPr>
          <w:t>2</w:t>
        </w:r>
      </w:p>
    </w:sdtContent>
  </w:sdt>
  <w:p w14:paraId="618C01C0" w14:textId="77777777"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14:paraId="5AAA81A6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</w:t>
        </w:r>
        <w:r w:rsidR="00255C41">
          <w:rPr>
            <w:rFonts w:ascii="Garamond" w:hAnsi="Garamond"/>
            <w:sz w:val="22"/>
            <w:szCs w:val="22"/>
          </w:rPr>
          <w:t>Change</w:t>
        </w:r>
        <w:r w:rsidRPr="00D31094">
          <w:rPr>
            <w:rFonts w:ascii="Garamond" w:hAnsi="Garamond"/>
            <w:sz w:val="22"/>
            <w:szCs w:val="22"/>
          </w:rPr>
          <w:t xml:space="preserve"> Advisory</w:t>
        </w:r>
        <w:r w:rsidRPr="00D31094">
          <w:rPr>
            <w:rFonts w:ascii="Garamond" w:hAnsi="Garamond"/>
          </w:rPr>
          <w:t xml:space="preserve"> | </w:t>
        </w:r>
        <w:r w:rsidR="003A410B">
          <w:rPr>
            <w:rFonts w:ascii="Garamond" w:hAnsi="Garamond"/>
            <w:noProof/>
          </w:rPr>
          <w:t>1</w:t>
        </w:r>
        <w:r w:rsidRPr="00D31094">
          <w:rPr>
            <w:rFonts w:ascii="Garamond" w:hAnsi="Garamond"/>
          </w:rPr>
          <w:t xml:space="preserve"> </w:t>
        </w:r>
      </w:p>
    </w:sdtContent>
  </w:sdt>
  <w:p w14:paraId="5A3C96D8" w14:textId="77777777"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D9D58" w14:textId="77777777" w:rsidR="00137CDB" w:rsidRDefault="00137CDB">
      <w:r>
        <w:separator/>
      </w:r>
    </w:p>
    <w:p w14:paraId="32FA05EC" w14:textId="77777777" w:rsidR="00137CDB" w:rsidRDefault="00137CDB"/>
  </w:footnote>
  <w:footnote w:type="continuationSeparator" w:id="0">
    <w:p w14:paraId="7831FF34" w14:textId="77777777" w:rsidR="00137CDB" w:rsidRDefault="00137CDB">
      <w:r>
        <w:continuationSeparator/>
      </w:r>
    </w:p>
    <w:p w14:paraId="31186EC5" w14:textId="77777777" w:rsidR="00137CDB" w:rsidRDefault="00137CDB"/>
  </w:footnote>
  <w:footnote w:id="1">
    <w:p w14:paraId="3D406DD2" w14:textId="0B35D623" w:rsidR="00A42FDB" w:rsidRPr="00960036" w:rsidRDefault="00A42FDB" w:rsidP="002164F7">
      <w:pPr>
        <w:pStyle w:val="FootnoteText"/>
        <w:rPr>
          <w:rFonts w:ascii="Century Gothic" w:hAnsi="Century Gothic"/>
          <w:sz w:val="22"/>
          <w:szCs w:val="22"/>
        </w:rPr>
      </w:pPr>
      <w:r w:rsidRPr="00354A4E">
        <w:rPr>
          <w:rStyle w:val="FootnoteReference"/>
          <w:rFonts w:ascii="Garamond" w:hAnsi="Garamond"/>
          <w:sz w:val="22"/>
          <w:szCs w:val="22"/>
        </w:rPr>
        <w:footnoteRef/>
      </w:r>
      <w:r w:rsidRPr="00354A4E">
        <w:rPr>
          <w:rFonts w:ascii="Garamond" w:hAnsi="Garamond"/>
          <w:sz w:val="22"/>
          <w:szCs w:val="22"/>
        </w:rPr>
        <w:t xml:space="preserve"> </w:t>
      </w:r>
      <w:r w:rsidRPr="00960036">
        <w:rPr>
          <w:rFonts w:ascii="Century Gothic" w:hAnsi="Century Gothic"/>
          <w:sz w:val="22"/>
          <w:szCs w:val="22"/>
        </w:rPr>
        <w:t>Based on a “typical</w:t>
      </w:r>
      <w:r w:rsidR="00354A4E" w:rsidRPr="00960036">
        <w:rPr>
          <w:rFonts w:ascii="Century Gothic" w:hAnsi="Century Gothic"/>
          <w:sz w:val="22"/>
          <w:szCs w:val="22"/>
        </w:rPr>
        <w:t xml:space="preserve">” residential </w:t>
      </w:r>
      <w:r w:rsidR="00861CBE">
        <w:rPr>
          <w:rFonts w:ascii="Century Gothic" w:hAnsi="Century Gothic"/>
          <w:sz w:val="22"/>
          <w:szCs w:val="22"/>
        </w:rPr>
        <w:t xml:space="preserve">bundled </w:t>
      </w:r>
      <w:r w:rsidR="00354A4E" w:rsidRPr="00960036">
        <w:rPr>
          <w:rFonts w:ascii="Century Gothic" w:hAnsi="Century Gothic"/>
          <w:sz w:val="22"/>
          <w:szCs w:val="22"/>
        </w:rPr>
        <w:t xml:space="preserve">customer using, on average, </w:t>
      </w:r>
      <w:r w:rsidR="00647363" w:rsidRPr="00BC4642">
        <w:rPr>
          <w:rFonts w:ascii="Century Gothic" w:hAnsi="Century Gothic"/>
          <w:sz w:val="22"/>
          <w:szCs w:val="22"/>
        </w:rPr>
        <w:t>5</w:t>
      </w:r>
      <w:r w:rsidR="004E1EB7" w:rsidRPr="00BC4642">
        <w:rPr>
          <w:rFonts w:ascii="Century Gothic" w:hAnsi="Century Gothic"/>
          <w:sz w:val="22"/>
          <w:szCs w:val="22"/>
        </w:rPr>
        <w:t>00</w:t>
      </w:r>
      <w:r w:rsidRPr="00BC4642">
        <w:rPr>
          <w:rFonts w:ascii="Century Gothic" w:hAnsi="Century Gothic"/>
          <w:sz w:val="22"/>
          <w:szCs w:val="22"/>
        </w:rPr>
        <w:t xml:space="preserve"> kilowatt-hours</w:t>
      </w:r>
      <w:r w:rsidRPr="00960036">
        <w:rPr>
          <w:rFonts w:ascii="Century Gothic" w:hAnsi="Century Gothic"/>
          <w:sz w:val="22"/>
          <w:szCs w:val="22"/>
        </w:rPr>
        <w:t xml:space="preserve"> per month.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0D003B61" w14:textId="77777777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0178481F" w14:textId="24576ADB" w:rsidR="00A42FDB" w:rsidRPr="002C361D" w:rsidRDefault="00A42FDB" w:rsidP="00BC713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 w:rsidRPr="006A06F4">
            <w:rPr>
              <w:rFonts w:ascii="Garamond" w:hAnsi="Garamond"/>
              <w:b/>
              <w:bCs/>
              <w:color w:val="FF0000"/>
              <w:sz w:val="36"/>
              <w:szCs w:val="36"/>
            </w:rPr>
            <w:t xml:space="preserve">        </w:t>
          </w:r>
          <w:r w:rsidR="00644EF5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March 2021</w:t>
          </w:r>
        </w:p>
      </w:tc>
      <w:tc>
        <w:tcPr>
          <w:tcW w:w="6151" w:type="dxa"/>
          <w:shd w:val="clear" w:color="auto" w:fill="002060"/>
          <w:vAlign w:val="center"/>
        </w:tcPr>
        <w:p w14:paraId="7E7389A7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3174B4F2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654E6EDF" w14:textId="77777777"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702FD2F1" wp14:editId="75BC67AD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CF2ADF6" w14:textId="77777777"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7AFBF966" w14:textId="77777777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5A0D1873" w14:textId="1135BBAD" w:rsidR="00A42FDB" w:rsidRPr="00CE19C8" w:rsidRDefault="00A42FDB" w:rsidP="00CE19C8">
          <w:pPr>
            <w:pStyle w:val="Header"/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   </w:t>
          </w:r>
          <w:r w:rsidR="00EB6407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March</w:t>
          </w:r>
          <w:r w:rsidR="00B014B2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</w:t>
          </w:r>
          <w:r w:rsidR="00A26DF2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2021</w:t>
          </w:r>
        </w:p>
      </w:tc>
      <w:tc>
        <w:tcPr>
          <w:tcW w:w="6151" w:type="dxa"/>
          <w:shd w:val="clear" w:color="auto" w:fill="002060"/>
          <w:vAlign w:val="center"/>
        </w:tcPr>
        <w:p w14:paraId="436FCB4B" w14:textId="77777777" w:rsidR="00960036" w:rsidRPr="00960036" w:rsidRDefault="00A42FDB" w:rsidP="00960036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>RATE CHANGE ADVISORY</w:t>
          </w:r>
          <w:r w:rsidR="00960036"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 xml:space="preserve"> ENERGY DIVISION</w:t>
          </w:r>
        </w:p>
        <w:p w14:paraId="32D6DC15" w14:textId="77777777" w:rsidR="00A42FDB" w:rsidRPr="00960036" w:rsidRDefault="00A42FDB" w:rsidP="005D2EAB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</w:rPr>
          </w:pPr>
        </w:p>
      </w:tc>
      <w:tc>
        <w:tcPr>
          <w:tcW w:w="2691" w:type="dxa"/>
          <w:shd w:val="clear" w:color="auto" w:fill="002060"/>
        </w:tcPr>
        <w:p w14:paraId="77C5D151" w14:textId="77777777"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57E24910" wp14:editId="1F19D656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F9BAA54" w14:textId="77777777"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5pt;height:11.5pt" o:bullet="t">
        <v:imagedata r:id="rId1" o:title="msoFF2D"/>
      </v:shape>
    </w:pict>
  </w:numPicBullet>
  <w:abstractNum w:abstractNumId="0" w15:restartNumberingAfterBreak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A002A8"/>
    <w:multiLevelType w:val="hybridMultilevel"/>
    <w:tmpl w:val="0D688988"/>
    <w:lvl w:ilvl="0" w:tplc="A67EB88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735AE"/>
    <w:multiLevelType w:val="hybridMultilevel"/>
    <w:tmpl w:val="1EC2486E"/>
    <w:lvl w:ilvl="0" w:tplc="A67EB88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A67EB88C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2C4C21"/>
    <w:multiLevelType w:val="hybridMultilevel"/>
    <w:tmpl w:val="98D007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0B4671"/>
    <w:multiLevelType w:val="hybridMultilevel"/>
    <w:tmpl w:val="607ABB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0"/>
  </w:num>
  <w:num w:numId="5">
    <w:abstractNumId w:val="2"/>
  </w:num>
  <w:num w:numId="6">
    <w:abstractNumId w:val="18"/>
  </w:num>
  <w:num w:numId="7">
    <w:abstractNumId w:val="4"/>
  </w:num>
  <w:num w:numId="8">
    <w:abstractNumId w:val="6"/>
  </w:num>
  <w:num w:numId="9">
    <w:abstractNumId w:val="5"/>
  </w:num>
  <w:num w:numId="10">
    <w:abstractNumId w:val="16"/>
  </w:num>
  <w:num w:numId="11">
    <w:abstractNumId w:val="10"/>
  </w:num>
  <w:num w:numId="12">
    <w:abstractNumId w:val="17"/>
  </w:num>
  <w:num w:numId="13">
    <w:abstractNumId w:val="3"/>
  </w:num>
  <w:num w:numId="14">
    <w:abstractNumId w:val="15"/>
  </w:num>
  <w:num w:numId="15">
    <w:abstractNumId w:val="1"/>
  </w:num>
  <w:num w:numId="16">
    <w:abstractNumId w:val="8"/>
  </w:num>
  <w:num w:numId="17">
    <w:abstractNumId w:val="19"/>
  </w:num>
  <w:num w:numId="18">
    <w:abstractNumId w:val="14"/>
  </w:num>
  <w:num w:numId="19">
    <w:abstractNumId w:val="7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05"/>
    <w:rsid w:val="00004E2F"/>
    <w:rsid w:val="000069E1"/>
    <w:rsid w:val="000076F6"/>
    <w:rsid w:val="00011292"/>
    <w:rsid w:val="000115F0"/>
    <w:rsid w:val="00012A90"/>
    <w:rsid w:val="00017089"/>
    <w:rsid w:val="00017373"/>
    <w:rsid w:val="00023054"/>
    <w:rsid w:val="00024CF2"/>
    <w:rsid w:val="00025EEC"/>
    <w:rsid w:val="00026904"/>
    <w:rsid w:val="00026B38"/>
    <w:rsid w:val="00027DF1"/>
    <w:rsid w:val="00031903"/>
    <w:rsid w:val="0003222D"/>
    <w:rsid w:val="000327F4"/>
    <w:rsid w:val="00034FD9"/>
    <w:rsid w:val="00041AA7"/>
    <w:rsid w:val="00045CDD"/>
    <w:rsid w:val="0006665E"/>
    <w:rsid w:val="00067C9F"/>
    <w:rsid w:val="0007148B"/>
    <w:rsid w:val="000723AE"/>
    <w:rsid w:val="00080391"/>
    <w:rsid w:val="000808F7"/>
    <w:rsid w:val="00082BD3"/>
    <w:rsid w:val="000858CE"/>
    <w:rsid w:val="000A1DA3"/>
    <w:rsid w:val="000A298C"/>
    <w:rsid w:val="000A37E9"/>
    <w:rsid w:val="000A58EF"/>
    <w:rsid w:val="000C07B7"/>
    <w:rsid w:val="000C2172"/>
    <w:rsid w:val="000C4126"/>
    <w:rsid w:val="000C5FD9"/>
    <w:rsid w:val="000D0C25"/>
    <w:rsid w:val="000D17D3"/>
    <w:rsid w:val="000D263D"/>
    <w:rsid w:val="000D501A"/>
    <w:rsid w:val="000D59A2"/>
    <w:rsid w:val="000D6E0B"/>
    <w:rsid w:val="000E063C"/>
    <w:rsid w:val="000E3D03"/>
    <w:rsid w:val="000E3F74"/>
    <w:rsid w:val="000F7A81"/>
    <w:rsid w:val="00102F9D"/>
    <w:rsid w:val="00105A3A"/>
    <w:rsid w:val="001128BD"/>
    <w:rsid w:val="0012130C"/>
    <w:rsid w:val="001227B5"/>
    <w:rsid w:val="00130972"/>
    <w:rsid w:val="0013200C"/>
    <w:rsid w:val="00135172"/>
    <w:rsid w:val="00135C26"/>
    <w:rsid w:val="00137CDB"/>
    <w:rsid w:val="00143E6E"/>
    <w:rsid w:val="00152406"/>
    <w:rsid w:val="00154274"/>
    <w:rsid w:val="00165273"/>
    <w:rsid w:val="00171D80"/>
    <w:rsid w:val="001742DA"/>
    <w:rsid w:val="00174F24"/>
    <w:rsid w:val="00181170"/>
    <w:rsid w:val="00181650"/>
    <w:rsid w:val="0018448C"/>
    <w:rsid w:val="001917E3"/>
    <w:rsid w:val="001923C3"/>
    <w:rsid w:val="00194A88"/>
    <w:rsid w:val="00196115"/>
    <w:rsid w:val="00197C00"/>
    <w:rsid w:val="001B6393"/>
    <w:rsid w:val="001B6804"/>
    <w:rsid w:val="001B7E7A"/>
    <w:rsid w:val="001D291E"/>
    <w:rsid w:val="001D6674"/>
    <w:rsid w:val="001E557A"/>
    <w:rsid w:val="001F39A3"/>
    <w:rsid w:val="001F4B3A"/>
    <w:rsid w:val="001F7C6B"/>
    <w:rsid w:val="002005CC"/>
    <w:rsid w:val="002027EB"/>
    <w:rsid w:val="00210772"/>
    <w:rsid w:val="00211A70"/>
    <w:rsid w:val="00216078"/>
    <w:rsid w:val="002164F7"/>
    <w:rsid w:val="00216D80"/>
    <w:rsid w:val="00220C86"/>
    <w:rsid w:val="0022257D"/>
    <w:rsid w:val="00225BA9"/>
    <w:rsid w:val="0022639A"/>
    <w:rsid w:val="00226EBB"/>
    <w:rsid w:val="002338B6"/>
    <w:rsid w:val="0024182E"/>
    <w:rsid w:val="00244F7D"/>
    <w:rsid w:val="00247273"/>
    <w:rsid w:val="00247CD5"/>
    <w:rsid w:val="00247F2E"/>
    <w:rsid w:val="00250C3A"/>
    <w:rsid w:val="00255C41"/>
    <w:rsid w:val="002604B0"/>
    <w:rsid w:val="00261933"/>
    <w:rsid w:val="00264F19"/>
    <w:rsid w:val="002656FB"/>
    <w:rsid w:val="0027768E"/>
    <w:rsid w:val="002826A9"/>
    <w:rsid w:val="0029088B"/>
    <w:rsid w:val="0029385A"/>
    <w:rsid w:val="00294B22"/>
    <w:rsid w:val="002A0603"/>
    <w:rsid w:val="002A2068"/>
    <w:rsid w:val="002A2DE6"/>
    <w:rsid w:val="002A41E4"/>
    <w:rsid w:val="002A470B"/>
    <w:rsid w:val="002A770B"/>
    <w:rsid w:val="002A797B"/>
    <w:rsid w:val="002B1411"/>
    <w:rsid w:val="002B32F2"/>
    <w:rsid w:val="002C361D"/>
    <w:rsid w:val="002C4428"/>
    <w:rsid w:val="002C49AF"/>
    <w:rsid w:val="002D0D49"/>
    <w:rsid w:val="002D241C"/>
    <w:rsid w:val="002D4D27"/>
    <w:rsid w:val="002D55E3"/>
    <w:rsid w:val="002F0860"/>
    <w:rsid w:val="00313C67"/>
    <w:rsid w:val="003148B3"/>
    <w:rsid w:val="0031493D"/>
    <w:rsid w:val="0031741D"/>
    <w:rsid w:val="00323742"/>
    <w:rsid w:val="0032676E"/>
    <w:rsid w:val="0032777C"/>
    <w:rsid w:val="00331A8E"/>
    <w:rsid w:val="003373DE"/>
    <w:rsid w:val="00345D0D"/>
    <w:rsid w:val="0035260C"/>
    <w:rsid w:val="00353BE3"/>
    <w:rsid w:val="00354A4E"/>
    <w:rsid w:val="00356C3A"/>
    <w:rsid w:val="00357035"/>
    <w:rsid w:val="0036029F"/>
    <w:rsid w:val="00367F2A"/>
    <w:rsid w:val="00375A37"/>
    <w:rsid w:val="00383440"/>
    <w:rsid w:val="0039052B"/>
    <w:rsid w:val="00392474"/>
    <w:rsid w:val="00392B34"/>
    <w:rsid w:val="003A1190"/>
    <w:rsid w:val="003A410B"/>
    <w:rsid w:val="003A5EDF"/>
    <w:rsid w:val="003B1368"/>
    <w:rsid w:val="003B60EF"/>
    <w:rsid w:val="003B7915"/>
    <w:rsid w:val="003C3C6B"/>
    <w:rsid w:val="003C6E4E"/>
    <w:rsid w:val="003D265D"/>
    <w:rsid w:val="003D3FDE"/>
    <w:rsid w:val="003D72D0"/>
    <w:rsid w:val="003E1C2B"/>
    <w:rsid w:val="003E2336"/>
    <w:rsid w:val="003E2AB6"/>
    <w:rsid w:val="003E3301"/>
    <w:rsid w:val="003E6280"/>
    <w:rsid w:val="003F497F"/>
    <w:rsid w:val="003F4E2C"/>
    <w:rsid w:val="00400566"/>
    <w:rsid w:val="0040086D"/>
    <w:rsid w:val="004041BA"/>
    <w:rsid w:val="00404510"/>
    <w:rsid w:val="004066B7"/>
    <w:rsid w:val="00410897"/>
    <w:rsid w:val="004109D4"/>
    <w:rsid w:val="00420AE1"/>
    <w:rsid w:val="00420D07"/>
    <w:rsid w:val="00421E5E"/>
    <w:rsid w:val="004227CF"/>
    <w:rsid w:val="004274E6"/>
    <w:rsid w:val="004308B1"/>
    <w:rsid w:val="00432809"/>
    <w:rsid w:val="00433148"/>
    <w:rsid w:val="00433CE9"/>
    <w:rsid w:val="00435319"/>
    <w:rsid w:val="0044011D"/>
    <w:rsid w:val="0044112E"/>
    <w:rsid w:val="004430A4"/>
    <w:rsid w:val="004566C8"/>
    <w:rsid w:val="004576EC"/>
    <w:rsid w:val="00461218"/>
    <w:rsid w:val="004642EC"/>
    <w:rsid w:val="00465DFA"/>
    <w:rsid w:val="0046645F"/>
    <w:rsid w:val="004676D2"/>
    <w:rsid w:val="00467C49"/>
    <w:rsid w:val="004706BE"/>
    <w:rsid w:val="00471D26"/>
    <w:rsid w:val="00474F83"/>
    <w:rsid w:val="00477880"/>
    <w:rsid w:val="00487649"/>
    <w:rsid w:val="00487DDA"/>
    <w:rsid w:val="004933FB"/>
    <w:rsid w:val="004941D2"/>
    <w:rsid w:val="00497EB9"/>
    <w:rsid w:val="004A2C07"/>
    <w:rsid w:val="004A69F1"/>
    <w:rsid w:val="004A6D0A"/>
    <w:rsid w:val="004A7E44"/>
    <w:rsid w:val="004B0515"/>
    <w:rsid w:val="004C01C1"/>
    <w:rsid w:val="004C129A"/>
    <w:rsid w:val="004C51E2"/>
    <w:rsid w:val="004C5737"/>
    <w:rsid w:val="004C7934"/>
    <w:rsid w:val="004D0FF6"/>
    <w:rsid w:val="004D1862"/>
    <w:rsid w:val="004E0384"/>
    <w:rsid w:val="004E154E"/>
    <w:rsid w:val="004E1EB7"/>
    <w:rsid w:val="004F0FB0"/>
    <w:rsid w:val="004F32F5"/>
    <w:rsid w:val="004F467C"/>
    <w:rsid w:val="004F7B2B"/>
    <w:rsid w:val="00503331"/>
    <w:rsid w:val="00503E76"/>
    <w:rsid w:val="00506A0A"/>
    <w:rsid w:val="00506C17"/>
    <w:rsid w:val="00510231"/>
    <w:rsid w:val="00510C3D"/>
    <w:rsid w:val="0051222C"/>
    <w:rsid w:val="00512B1B"/>
    <w:rsid w:val="00512C4B"/>
    <w:rsid w:val="00513835"/>
    <w:rsid w:val="0051476C"/>
    <w:rsid w:val="005179CC"/>
    <w:rsid w:val="00530D7C"/>
    <w:rsid w:val="00531FB3"/>
    <w:rsid w:val="0053241B"/>
    <w:rsid w:val="00532841"/>
    <w:rsid w:val="00532EA7"/>
    <w:rsid w:val="00534422"/>
    <w:rsid w:val="005363FD"/>
    <w:rsid w:val="005372D9"/>
    <w:rsid w:val="005414F1"/>
    <w:rsid w:val="0054359F"/>
    <w:rsid w:val="00546A7D"/>
    <w:rsid w:val="005517C6"/>
    <w:rsid w:val="00552B0C"/>
    <w:rsid w:val="00554340"/>
    <w:rsid w:val="00564328"/>
    <w:rsid w:val="00567FFB"/>
    <w:rsid w:val="00571C5D"/>
    <w:rsid w:val="00573664"/>
    <w:rsid w:val="0057533A"/>
    <w:rsid w:val="00575FEF"/>
    <w:rsid w:val="00577971"/>
    <w:rsid w:val="00580DC3"/>
    <w:rsid w:val="00583A04"/>
    <w:rsid w:val="00590D03"/>
    <w:rsid w:val="00596E1D"/>
    <w:rsid w:val="005A082B"/>
    <w:rsid w:val="005A10B8"/>
    <w:rsid w:val="005A1CFE"/>
    <w:rsid w:val="005A4B1F"/>
    <w:rsid w:val="005A55D7"/>
    <w:rsid w:val="005B4DA8"/>
    <w:rsid w:val="005C1F2D"/>
    <w:rsid w:val="005C2FB6"/>
    <w:rsid w:val="005C4A13"/>
    <w:rsid w:val="005C4EC3"/>
    <w:rsid w:val="005D13A8"/>
    <w:rsid w:val="005D2EAB"/>
    <w:rsid w:val="005D74E6"/>
    <w:rsid w:val="005D7FB7"/>
    <w:rsid w:val="005E0345"/>
    <w:rsid w:val="005E4368"/>
    <w:rsid w:val="005E6A5A"/>
    <w:rsid w:val="005F4F7C"/>
    <w:rsid w:val="0060240B"/>
    <w:rsid w:val="00603346"/>
    <w:rsid w:val="006200CA"/>
    <w:rsid w:val="00621E2B"/>
    <w:rsid w:val="006265DE"/>
    <w:rsid w:val="006368A6"/>
    <w:rsid w:val="00640B0E"/>
    <w:rsid w:val="006431EF"/>
    <w:rsid w:val="00644EF5"/>
    <w:rsid w:val="00645B76"/>
    <w:rsid w:val="006465FE"/>
    <w:rsid w:val="006472E9"/>
    <w:rsid w:val="00647363"/>
    <w:rsid w:val="006535E7"/>
    <w:rsid w:val="00654C5C"/>
    <w:rsid w:val="00661703"/>
    <w:rsid w:val="00661780"/>
    <w:rsid w:val="00664C8E"/>
    <w:rsid w:val="006659C2"/>
    <w:rsid w:val="00670772"/>
    <w:rsid w:val="00670C97"/>
    <w:rsid w:val="006720B2"/>
    <w:rsid w:val="00672C0F"/>
    <w:rsid w:val="0067331F"/>
    <w:rsid w:val="006747CF"/>
    <w:rsid w:val="00674A43"/>
    <w:rsid w:val="00680A0B"/>
    <w:rsid w:val="00680B26"/>
    <w:rsid w:val="00680DF1"/>
    <w:rsid w:val="00682135"/>
    <w:rsid w:val="00682BFD"/>
    <w:rsid w:val="00692008"/>
    <w:rsid w:val="00693FCB"/>
    <w:rsid w:val="006A05D6"/>
    <w:rsid w:val="006A06F4"/>
    <w:rsid w:val="006B2DEE"/>
    <w:rsid w:val="006B3518"/>
    <w:rsid w:val="006B3BF4"/>
    <w:rsid w:val="006B7F07"/>
    <w:rsid w:val="006D1006"/>
    <w:rsid w:val="006D4605"/>
    <w:rsid w:val="006D5A7C"/>
    <w:rsid w:val="006D7FBD"/>
    <w:rsid w:val="006E4AFD"/>
    <w:rsid w:val="006E7AC6"/>
    <w:rsid w:val="006F186F"/>
    <w:rsid w:val="006F4F92"/>
    <w:rsid w:val="0070195C"/>
    <w:rsid w:val="00704D6C"/>
    <w:rsid w:val="00714B95"/>
    <w:rsid w:val="00715E59"/>
    <w:rsid w:val="007213FF"/>
    <w:rsid w:val="007337FB"/>
    <w:rsid w:val="007350FA"/>
    <w:rsid w:val="0073526A"/>
    <w:rsid w:val="0073542E"/>
    <w:rsid w:val="00736959"/>
    <w:rsid w:val="00736ED1"/>
    <w:rsid w:val="00740A58"/>
    <w:rsid w:val="00744580"/>
    <w:rsid w:val="00747A77"/>
    <w:rsid w:val="00750033"/>
    <w:rsid w:val="007501A3"/>
    <w:rsid w:val="007507D6"/>
    <w:rsid w:val="00751015"/>
    <w:rsid w:val="0075685A"/>
    <w:rsid w:val="00757B16"/>
    <w:rsid w:val="00764CCE"/>
    <w:rsid w:val="00767F8C"/>
    <w:rsid w:val="00770686"/>
    <w:rsid w:val="00774A18"/>
    <w:rsid w:val="00774E68"/>
    <w:rsid w:val="0077538E"/>
    <w:rsid w:val="0077791C"/>
    <w:rsid w:val="00777EF6"/>
    <w:rsid w:val="007821A8"/>
    <w:rsid w:val="0078294C"/>
    <w:rsid w:val="00785260"/>
    <w:rsid w:val="007875CA"/>
    <w:rsid w:val="0079031D"/>
    <w:rsid w:val="0079582D"/>
    <w:rsid w:val="007A0BA7"/>
    <w:rsid w:val="007A29C2"/>
    <w:rsid w:val="007A3BE1"/>
    <w:rsid w:val="007A4959"/>
    <w:rsid w:val="007A522D"/>
    <w:rsid w:val="007B22E5"/>
    <w:rsid w:val="007B5720"/>
    <w:rsid w:val="007B66A6"/>
    <w:rsid w:val="007B6E1C"/>
    <w:rsid w:val="007C0FA4"/>
    <w:rsid w:val="007C38C4"/>
    <w:rsid w:val="007D7A6F"/>
    <w:rsid w:val="007E0E3A"/>
    <w:rsid w:val="007E41FE"/>
    <w:rsid w:val="007E432F"/>
    <w:rsid w:val="007E46A2"/>
    <w:rsid w:val="007E53BD"/>
    <w:rsid w:val="007E6A3E"/>
    <w:rsid w:val="007F4948"/>
    <w:rsid w:val="007F6FCF"/>
    <w:rsid w:val="007F735D"/>
    <w:rsid w:val="008028BD"/>
    <w:rsid w:val="00803328"/>
    <w:rsid w:val="00804A0B"/>
    <w:rsid w:val="00805C23"/>
    <w:rsid w:val="00815FE7"/>
    <w:rsid w:val="00821BC9"/>
    <w:rsid w:val="00826202"/>
    <w:rsid w:val="008474A3"/>
    <w:rsid w:val="0085067B"/>
    <w:rsid w:val="00851B27"/>
    <w:rsid w:val="00851DBB"/>
    <w:rsid w:val="00857805"/>
    <w:rsid w:val="00860A36"/>
    <w:rsid w:val="008611D6"/>
    <w:rsid w:val="00861CBE"/>
    <w:rsid w:val="00863057"/>
    <w:rsid w:val="00871286"/>
    <w:rsid w:val="00876244"/>
    <w:rsid w:val="0087708C"/>
    <w:rsid w:val="008815F4"/>
    <w:rsid w:val="00883869"/>
    <w:rsid w:val="0088523A"/>
    <w:rsid w:val="008876BB"/>
    <w:rsid w:val="0089340B"/>
    <w:rsid w:val="00894283"/>
    <w:rsid w:val="008A19CA"/>
    <w:rsid w:val="008B0395"/>
    <w:rsid w:val="008B4F7C"/>
    <w:rsid w:val="008B4FB2"/>
    <w:rsid w:val="008B545E"/>
    <w:rsid w:val="008C068D"/>
    <w:rsid w:val="008C1B1A"/>
    <w:rsid w:val="008E1543"/>
    <w:rsid w:val="008F0EAE"/>
    <w:rsid w:val="008F3C57"/>
    <w:rsid w:val="009028CF"/>
    <w:rsid w:val="00903401"/>
    <w:rsid w:val="00903DA5"/>
    <w:rsid w:val="00904F9A"/>
    <w:rsid w:val="00906436"/>
    <w:rsid w:val="00906D2F"/>
    <w:rsid w:val="00907739"/>
    <w:rsid w:val="0091796E"/>
    <w:rsid w:val="00923392"/>
    <w:rsid w:val="00923F26"/>
    <w:rsid w:val="00931FC0"/>
    <w:rsid w:val="00940A64"/>
    <w:rsid w:val="00960036"/>
    <w:rsid w:val="00960614"/>
    <w:rsid w:val="00962953"/>
    <w:rsid w:val="009630B7"/>
    <w:rsid w:val="00965C27"/>
    <w:rsid w:val="00972B60"/>
    <w:rsid w:val="0097728D"/>
    <w:rsid w:val="009831DB"/>
    <w:rsid w:val="00983792"/>
    <w:rsid w:val="00983DE9"/>
    <w:rsid w:val="00984A73"/>
    <w:rsid w:val="009853D3"/>
    <w:rsid w:val="00990645"/>
    <w:rsid w:val="009917BB"/>
    <w:rsid w:val="009964E9"/>
    <w:rsid w:val="0099734E"/>
    <w:rsid w:val="00997619"/>
    <w:rsid w:val="009A432D"/>
    <w:rsid w:val="009A4345"/>
    <w:rsid w:val="009A5A01"/>
    <w:rsid w:val="009B13C0"/>
    <w:rsid w:val="009B28BF"/>
    <w:rsid w:val="009B3A25"/>
    <w:rsid w:val="009C08EA"/>
    <w:rsid w:val="009C1F06"/>
    <w:rsid w:val="009C3CFA"/>
    <w:rsid w:val="009C413D"/>
    <w:rsid w:val="009C489E"/>
    <w:rsid w:val="009C5185"/>
    <w:rsid w:val="009C64BF"/>
    <w:rsid w:val="009D11DF"/>
    <w:rsid w:val="009D45A6"/>
    <w:rsid w:val="009E4141"/>
    <w:rsid w:val="009E7A9A"/>
    <w:rsid w:val="009F00EF"/>
    <w:rsid w:val="009F1BDE"/>
    <w:rsid w:val="009F2F79"/>
    <w:rsid w:val="009F37FD"/>
    <w:rsid w:val="009F4A68"/>
    <w:rsid w:val="009F7038"/>
    <w:rsid w:val="00A025EF"/>
    <w:rsid w:val="00A04EDD"/>
    <w:rsid w:val="00A100CA"/>
    <w:rsid w:val="00A12A44"/>
    <w:rsid w:val="00A14F8E"/>
    <w:rsid w:val="00A16D92"/>
    <w:rsid w:val="00A21707"/>
    <w:rsid w:val="00A247D4"/>
    <w:rsid w:val="00A24FB2"/>
    <w:rsid w:val="00A26DF2"/>
    <w:rsid w:val="00A31DB8"/>
    <w:rsid w:val="00A33DC8"/>
    <w:rsid w:val="00A3658E"/>
    <w:rsid w:val="00A42786"/>
    <w:rsid w:val="00A42FDB"/>
    <w:rsid w:val="00A47930"/>
    <w:rsid w:val="00A54A53"/>
    <w:rsid w:val="00A55DFD"/>
    <w:rsid w:val="00A565BE"/>
    <w:rsid w:val="00A56964"/>
    <w:rsid w:val="00A64E58"/>
    <w:rsid w:val="00A733A3"/>
    <w:rsid w:val="00A764FB"/>
    <w:rsid w:val="00A86289"/>
    <w:rsid w:val="00A86671"/>
    <w:rsid w:val="00A9325D"/>
    <w:rsid w:val="00A9594E"/>
    <w:rsid w:val="00AA1472"/>
    <w:rsid w:val="00AA1BBD"/>
    <w:rsid w:val="00AA279D"/>
    <w:rsid w:val="00AA5D1C"/>
    <w:rsid w:val="00AB1C7A"/>
    <w:rsid w:val="00AB4980"/>
    <w:rsid w:val="00AC437B"/>
    <w:rsid w:val="00AC4CD3"/>
    <w:rsid w:val="00AC5C9F"/>
    <w:rsid w:val="00AC796F"/>
    <w:rsid w:val="00AD2B02"/>
    <w:rsid w:val="00AD4CEE"/>
    <w:rsid w:val="00AD5628"/>
    <w:rsid w:val="00AE0604"/>
    <w:rsid w:val="00AE3DC6"/>
    <w:rsid w:val="00AE483F"/>
    <w:rsid w:val="00AE4A56"/>
    <w:rsid w:val="00AE5D54"/>
    <w:rsid w:val="00AE6A8D"/>
    <w:rsid w:val="00AE77C4"/>
    <w:rsid w:val="00AF08F7"/>
    <w:rsid w:val="00AF0AD6"/>
    <w:rsid w:val="00AF4FA5"/>
    <w:rsid w:val="00AF7013"/>
    <w:rsid w:val="00AF782B"/>
    <w:rsid w:val="00B014B2"/>
    <w:rsid w:val="00B035DD"/>
    <w:rsid w:val="00B03804"/>
    <w:rsid w:val="00B04A54"/>
    <w:rsid w:val="00B04EB5"/>
    <w:rsid w:val="00B12BBD"/>
    <w:rsid w:val="00B13556"/>
    <w:rsid w:val="00B17FDC"/>
    <w:rsid w:val="00B2335F"/>
    <w:rsid w:val="00B26674"/>
    <w:rsid w:val="00B30AA1"/>
    <w:rsid w:val="00B344BF"/>
    <w:rsid w:val="00B349F1"/>
    <w:rsid w:val="00B43F4E"/>
    <w:rsid w:val="00B51AC1"/>
    <w:rsid w:val="00B637B2"/>
    <w:rsid w:val="00B66B77"/>
    <w:rsid w:val="00B66C99"/>
    <w:rsid w:val="00B67CC1"/>
    <w:rsid w:val="00B72448"/>
    <w:rsid w:val="00B72D3C"/>
    <w:rsid w:val="00B77B78"/>
    <w:rsid w:val="00B8063D"/>
    <w:rsid w:val="00B8732B"/>
    <w:rsid w:val="00B90CB9"/>
    <w:rsid w:val="00B9638F"/>
    <w:rsid w:val="00B9791E"/>
    <w:rsid w:val="00BA1AE6"/>
    <w:rsid w:val="00BA1F39"/>
    <w:rsid w:val="00BA2C1B"/>
    <w:rsid w:val="00BA2C71"/>
    <w:rsid w:val="00BB3468"/>
    <w:rsid w:val="00BB3903"/>
    <w:rsid w:val="00BB7289"/>
    <w:rsid w:val="00BC4642"/>
    <w:rsid w:val="00BC591F"/>
    <w:rsid w:val="00BC713D"/>
    <w:rsid w:val="00BD1059"/>
    <w:rsid w:val="00BD2851"/>
    <w:rsid w:val="00BD4DA8"/>
    <w:rsid w:val="00BD5089"/>
    <w:rsid w:val="00BE17F2"/>
    <w:rsid w:val="00BF23DE"/>
    <w:rsid w:val="00BF529C"/>
    <w:rsid w:val="00BF53B3"/>
    <w:rsid w:val="00BF5B47"/>
    <w:rsid w:val="00BF73B6"/>
    <w:rsid w:val="00BF7A64"/>
    <w:rsid w:val="00C011FD"/>
    <w:rsid w:val="00C03449"/>
    <w:rsid w:val="00C042BD"/>
    <w:rsid w:val="00C21A02"/>
    <w:rsid w:val="00C240B3"/>
    <w:rsid w:val="00C26E81"/>
    <w:rsid w:val="00C30630"/>
    <w:rsid w:val="00C3215A"/>
    <w:rsid w:val="00C4250F"/>
    <w:rsid w:val="00C42BCC"/>
    <w:rsid w:val="00C459C9"/>
    <w:rsid w:val="00C46A4C"/>
    <w:rsid w:val="00C47053"/>
    <w:rsid w:val="00C47A69"/>
    <w:rsid w:val="00C60820"/>
    <w:rsid w:val="00C60AC4"/>
    <w:rsid w:val="00C61177"/>
    <w:rsid w:val="00C63C9B"/>
    <w:rsid w:val="00C67186"/>
    <w:rsid w:val="00C72AE1"/>
    <w:rsid w:val="00C83FB0"/>
    <w:rsid w:val="00C84C80"/>
    <w:rsid w:val="00C85647"/>
    <w:rsid w:val="00C856A2"/>
    <w:rsid w:val="00C87F18"/>
    <w:rsid w:val="00C924D9"/>
    <w:rsid w:val="00C93620"/>
    <w:rsid w:val="00C97847"/>
    <w:rsid w:val="00CA2061"/>
    <w:rsid w:val="00CA65A7"/>
    <w:rsid w:val="00CA7021"/>
    <w:rsid w:val="00CB4F96"/>
    <w:rsid w:val="00CC0499"/>
    <w:rsid w:val="00CC5559"/>
    <w:rsid w:val="00CD35DE"/>
    <w:rsid w:val="00CD3764"/>
    <w:rsid w:val="00CD44B5"/>
    <w:rsid w:val="00CE1624"/>
    <w:rsid w:val="00CE19C8"/>
    <w:rsid w:val="00CF044A"/>
    <w:rsid w:val="00CF22CD"/>
    <w:rsid w:val="00CF3459"/>
    <w:rsid w:val="00CF4BB6"/>
    <w:rsid w:val="00CF5FEC"/>
    <w:rsid w:val="00CF7C12"/>
    <w:rsid w:val="00D00D38"/>
    <w:rsid w:val="00D01D0F"/>
    <w:rsid w:val="00D071B7"/>
    <w:rsid w:val="00D10B02"/>
    <w:rsid w:val="00D12B7C"/>
    <w:rsid w:val="00D12D57"/>
    <w:rsid w:val="00D13742"/>
    <w:rsid w:val="00D1779B"/>
    <w:rsid w:val="00D21315"/>
    <w:rsid w:val="00D22006"/>
    <w:rsid w:val="00D25183"/>
    <w:rsid w:val="00D26DE7"/>
    <w:rsid w:val="00D31094"/>
    <w:rsid w:val="00D4000C"/>
    <w:rsid w:val="00D410D3"/>
    <w:rsid w:val="00D431B7"/>
    <w:rsid w:val="00D431EC"/>
    <w:rsid w:val="00D44ED3"/>
    <w:rsid w:val="00D53687"/>
    <w:rsid w:val="00D60F2C"/>
    <w:rsid w:val="00D61567"/>
    <w:rsid w:val="00D636DC"/>
    <w:rsid w:val="00D6482E"/>
    <w:rsid w:val="00D64A9A"/>
    <w:rsid w:val="00D654D1"/>
    <w:rsid w:val="00D66101"/>
    <w:rsid w:val="00D7029F"/>
    <w:rsid w:val="00D72C83"/>
    <w:rsid w:val="00D75A4E"/>
    <w:rsid w:val="00D75D90"/>
    <w:rsid w:val="00D80425"/>
    <w:rsid w:val="00D816FD"/>
    <w:rsid w:val="00D83727"/>
    <w:rsid w:val="00D83B10"/>
    <w:rsid w:val="00D85AE4"/>
    <w:rsid w:val="00D93845"/>
    <w:rsid w:val="00D94625"/>
    <w:rsid w:val="00D9494E"/>
    <w:rsid w:val="00D96F26"/>
    <w:rsid w:val="00DA1AA5"/>
    <w:rsid w:val="00DA2F3D"/>
    <w:rsid w:val="00DA5726"/>
    <w:rsid w:val="00DB21E0"/>
    <w:rsid w:val="00DB48E8"/>
    <w:rsid w:val="00DB7796"/>
    <w:rsid w:val="00DC0487"/>
    <w:rsid w:val="00DC1012"/>
    <w:rsid w:val="00DC2132"/>
    <w:rsid w:val="00DC5D5E"/>
    <w:rsid w:val="00DC7C3E"/>
    <w:rsid w:val="00DD0AA0"/>
    <w:rsid w:val="00DD0C38"/>
    <w:rsid w:val="00DD1887"/>
    <w:rsid w:val="00DD2300"/>
    <w:rsid w:val="00DD23FA"/>
    <w:rsid w:val="00DD577D"/>
    <w:rsid w:val="00DE00A6"/>
    <w:rsid w:val="00DF5631"/>
    <w:rsid w:val="00E04E38"/>
    <w:rsid w:val="00E04FE9"/>
    <w:rsid w:val="00E07248"/>
    <w:rsid w:val="00E15290"/>
    <w:rsid w:val="00E17ECA"/>
    <w:rsid w:val="00E20068"/>
    <w:rsid w:val="00E2505C"/>
    <w:rsid w:val="00E27F02"/>
    <w:rsid w:val="00E30A95"/>
    <w:rsid w:val="00E3304B"/>
    <w:rsid w:val="00E33B56"/>
    <w:rsid w:val="00E3467E"/>
    <w:rsid w:val="00E46AC1"/>
    <w:rsid w:val="00E57E1A"/>
    <w:rsid w:val="00E62C26"/>
    <w:rsid w:val="00E62EB2"/>
    <w:rsid w:val="00E64305"/>
    <w:rsid w:val="00E74DCD"/>
    <w:rsid w:val="00E767CC"/>
    <w:rsid w:val="00E81868"/>
    <w:rsid w:val="00E846C6"/>
    <w:rsid w:val="00E92206"/>
    <w:rsid w:val="00E94578"/>
    <w:rsid w:val="00E97440"/>
    <w:rsid w:val="00E97705"/>
    <w:rsid w:val="00E97749"/>
    <w:rsid w:val="00EA2C1D"/>
    <w:rsid w:val="00EA38F3"/>
    <w:rsid w:val="00EA59A6"/>
    <w:rsid w:val="00EB0B31"/>
    <w:rsid w:val="00EB2D32"/>
    <w:rsid w:val="00EB545D"/>
    <w:rsid w:val="00EB6407"/>
    <w:rsid w:val="00EB68DB"/>
    <w:rsid w:val="00EB6CA7"/>
    <w:rsid w:val="00EC1BE5"/>
    <w:rsid w:val="00EC2501"/>
    <w:rsid w:val="00EC4388"/>
    <w:rsid w:val="00EC4E48"/>
    <w:rsid w:val="00EC588B"/>
    <w:rsid w:val="00EC65F4"/>
    <w:rsid w:val="00EC7526"/>
    <w:rsid w:val="00ED1B8A"/>
    <w:rsid w:val="00EE008F"/>
    <w:rsid w:val="00EE0FD2"/>
    <w:rsid w:val="00EE1405"/>
    <w:rsid w:val="00EE514E"/>
    <w:rsid w:val="00EE5D73"/>
    <w:rsid w:val="00EF5FB4"/>
    <w:rsid w:val="00EF6BD5"/>
    <w:rsid w:val="00F00D52"/>
    <w:rsid w:val="00F02AF8"/>
    <w:rsid w:val="00F114D0"/>
    <w:rsid w:val="00F11A8D"/>
    <w:rsid w:val="00F12819"/>
    <w:rsid w:val="00F22537"/>
    <w:rsid w:val="00F254AD"/>
    <w:rsid w:val="00F319C3"/>
    <w:rsid w:val="00F46C2D"/>
    <w:rsid w:val="00F4705B"/>
    <w:rsid w:val="00F4739A"/>
    <w:rsid w:val="00F52A15"/>
    <w:rsid w:val="00F5411D"/>
    <w:rsid w:val="00F54152"/>
    <w:rsid w:val="00F622E1"/>
    <w:rsid w:val="00F64336"/>
    <w:rsid w:val="00F64B23"/>
    <w:rsid w:val="00F65E84"/>
    <w:rsid w:val="00F67D94"/>
    <w:rsid w:val="00F75E58"/>
    <w:rsid w:val="00F7758E"/>
    <w:rsid w:val="00F80E8A"/>
    <w:rsid w:val="00F80FB9"/>
    <w:rsid w:val="00F85BA0"/>
    <w:rsid w:val="00F8668D"/>
    <w:rsid w:val="00F93365"/>
    <w:rsid w:val="00F9574D"/>
    <w:rsid w:val="00F97A4E"/>
    <w:rsid w:val="00FA07BF"/>
    <w:rsid w:val="00FA4069"/>
    <w:rsid w:val="00FA475B"/>
    <w:rsid w:val="00FA5ED0"/>
    <w:rsid w:val="00FA7045"/>
    <w:rsid w:val="00FB198C"/>
    <w:rsid w:val="00FB1BB6"/>
    <w:rsid w:val="00FB2714"/>
    <w:rsid w:val="00FB3ADE"/>
    <w:rsid w:val="00FB66EC"/>
    <w:rsid w:val="00FC20C7"/>
    <w:rsid w:val="00FC5FDC"/>
    <w:rsid w:val="00FD3A7D"/>
    <w:rsid w:val="00FD4D9F"/>
    <w:rsid w:val="00FD607C"/>
    <w:rsid w:val="00FE18AB"/>
    <w:rsid w:val="00FE1F46"/>
    <w:rsid w:val="00FE2136"/>
    <w:rsid w:val="00FE3ACD"/>
    <w:rsid w:val="00FF0E98"/>
    <w:rsid w:val="00FF1B68"/>
    <w:rsid w:val="6FB9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39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F5FEC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F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45D"/>
    <w:rPr>
      <w:color w:val="B26B0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4" ma:contentTypeDescription="Create a new document." ma:contentTypeScope="" ma:versionID="fc00334754aa581c0fa2dc47773fbe3b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cb5be191e1948dec1032c6544271cf2c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6D7DA-B086-4427-9ECE-BB7C0B794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45D1A0-D721-4D2D-9DF4-17F5C8B8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/>
  <cp:lastModifiedBy/>
  <cp:revision>1</cp:revision>
  <dcterms:created xsi:type="dcterms:W3CDTF">2021-02-25T23:48:00Z</dcterms:created>
  <dcterms:modified xsi:type="dcterms:W3CDTF">2021-02-25T23:48:00Z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