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7E060" w14:textId="110A538D" w:rsidR="00367039" w:rsidRPr="009B4FE6" w:rsidRDefault="007B2855" w:rsidP="00855C52">
      <w:pPr>
        <w:jc w:val="center"/>
        <w:rPr>
          <w:b/>
          <w:bCs/>
        </w:rPr>
      </w:pPr>
      <w:r w:rsidRPr="009B4FE6">
        <w:rPr>
          <w:b/>
          <w:bCs/>
        </w:rPr>
        <w:t xml:space="preserve">Comments of </w:t>
      </w:r>
      <w:r w:rsidR="00855C52" w:rsidRPr="009B4FE6">
        <w:rPr>
          <w:b/>
          <w:bCs/>
        </w:rPr>
        <w:t>Marin Clean Energy, Southern California Regional Energy Network, Bay Area Regional Energy Network</w:t>
      </w:r>
      <w:r w:rsidR="009B4FE6" w:rsidRPr="009B4FE6">
        <w:rPr>
          <w:b/>
          <w:bCs/>
        </w:rPr>
        <w:t>, and</w:t>
      </w:r>
      <w:r w:rsidRPr="009B4FE6">
        <w:rPr>
          <w:b/>
          <w:bCs/>
        </w:rPr>
        <w:t xml:space="preserve"> Tri-County Regional Energy Network </w:t>
      </w:r>
      <w:r w:rsidR="00855C52" w:rsidRPr="009B4FE6">
        <w:rPr>
          <w:b/>
          <w:bCs/>
        </w:rPr>
        <w:t xml:space="preserve">on the 2021 </w:t>
      </w:r>
      <w:r w:rsidR="009B4FE6" w:rsidRPr="009B4FE6">
        <w:rPr>
          <w:b/>
          <w:bCs/>
        </w:rPr>
        <w:t xml:space="preserve">Energy Efficiency </w:t>
      </w:r>
      <w:r w:rsidR="00855C52" w:rsidRPr="009B4FE6">
        <w:rPr>
          <w:b/>
          <w:bCs/>
        </w:rPr>
        <w:t>Potential and Goals Study</w:t>
      </w:r>
    </w:p>
    <w:p w14:paraId="4D7B13EA" w14:textId="2BF8F3C2" w:rsidR="00855C52" w:rsidRPr="009B4FE6" w:rsidRDefault="009B4FE6" w:rsidP="00855C52">
      <w:pPr>
        <w:jc w:val="center"/>
        <w:rPr>
          <w:b/>
          <w:bCs/>
        </w:rPr>
      </w:pPr>
      <w:r w:rsidRPr="009B4FE6">
        <w:rPr>
          <w:b/>
          <w:bCs/>
        </w:rPr>
        <w:t>December 10, 2019</w:t>
      </w:r>
    </w:p>
    <w:p w14:paraId="62331285" w14:textId="6B4638AB" w:rsidR="00855C52" w:rsidRDefault="009B4FE6" w:rsidP="00855C52">
      <w:r w:rsidRPr="009B4FE6">
        <w:t>Marin Clean Energy, Southern California Regional Energy Network, Bay Area Regional Energy Network, and Tri-County Regional Energy Network</w:t>
      </w:r>
      <w:r w:rsidRPr="009B4FE6">
        <w:rPr>
          <w:b/>
          <w:bCs/>
        </w:rPr>
        <w:t xml:space="preserve"> </w:t>
      </w:r>
      <w:r w:rsidR="00287188" w:rsidRPr="007A4FB2">
        <w:t>(Joint Non-IOU PA</w:t>
      </w:r>
      <w:r w:rsidR="00074121">
        <w:t>s</w:t>
      </w:r>
      <w:r w:rsidR="00287188" w:rsidRPr="001F0E6B">
        <w:t xml:space="preserve">) </w:t>
      </w:r>
      <w:r w:rsidR="00855C52">
        <w:t xml:space="preserve">appreciate the opportunity to submit </w:t>
      </w:r>
      <w:r>
        <w:t>comments following</w:t>
      </w:r>
      <w:r w:rsidR="00855C52">
        <w:t xml:space="preserve"> </w:t>
      </w:r>
      <w:r>
        <w:t>the two-day workshop for the 2021 Energy Efficiency Potential and Goals Study</w:t>
      </w:r>
      <w:r w:rsidR="00287188">
        <w:t xml:space="preserve"> (P&amp;G study)</w:t>
      </w:r>
      <w:r>
        <w:t>.</w:t>
      </w:r>
    </w:p>
    <w:p w14:paraId="158665E8" w14:textId="19678FA7" w:rsidR="00AA0F16" w:rsidRPr="00F703AE" w:rsidRDefault="00AA0F16" w:rsidP="00855C52">
      <w:pPr>
        <w:rPr>
          <w:rFonts w:cstheme="minorHAnsi"/>
          <w:b/>
          <w:bCs/>
          <w:i/>
          <w:iCs/>
        </w:rPr>
      </w:pPr>
      <w:r w:rsidRPr="00F703AE">
        <w:rPr>
          <w:rFonts w:cstheme="minorHAnsi"/>
          <w:b/>
          <w:bCs/>
          <w:i/>
          <w:iCs/>
        </w:rPr>
        <w:t>Central Issues</w:t>
      </w:r>
    </w:p>
    <w:p w14:paraId="34FEB589" w14:textId="5FB5CD70" w:rsidR="00AA0F16" w:rsidRPr="00F703AE" w:rsidRDefault="00AA0F16" w:rsidP="007B2855">
      <w:pPr>
        <w:pStyle w:val="ListParagraph"/>
        <w:numPr>
          <w:ilvl w:val="0"/>
          <w:numId w:val="5"/>
        </w:numPr>
        <w:rPr>
          <w:rFonts w:cstheme="minorHAnsi"/>
        </w:rPr>
      </w:pPr>
      <w:r w:rsidRPr="00F703AE">
        <w:rPr>
          <w:rFonts w:cstheme="minorHAnsi"/>
        </w:rPr>
        <w:t xml:space="preserve">The P&amp;G study is currently disconnected from informing the gap between market potential and energy savings needed to meet State goals (SB 350). Even if the P&amp;G study only identifies a range of technical, economic and market potential, how can the study be used to inform the needed policy and regulatory changes to double </w:t>
      </w:r>
      <w:r w:rsidR="00287188">
        <w:rPr>
          <w:rFonts w:cstheme="minorHAnsi"/>
        </w:rPr>
        <w:t>energy efficiency (</w:t>
      </w:r>
      <w:r w:rsidRPr="00F703AE">
        <w:rPr>
          <w:rFonts w:cstheme="minorHAnsi"/>
        </w:rPr>
        <w:t>EE</w:t>
      </w:r>
      <w:r w:rsidR="00287188">
        <w:rPr>
          <w:rFonts w:cstheme="minorHAnsi"/>
        </w:rPr>
        <w:t>)</w:t>
      </w:r>
      <w:r w:rsidRPr="00F703AE">
        <w:rPr>
          <w:rFonts w:cstheme="minorHAnsi"/>
        </w:rPr>
        <w:t>, integrate DR and all IDSM resources as well as decarbonizing the State?</w:t>
      </w:r>
      <w:r w:rsidR="007B2855" w:rsidRPr="00F703AE">
        <w:rPr>
          <w:rFonts w:cstheme="minorHAnsi"/>
        </w:rPr>
        <w:t xml:space="preserve">  Knowing what is needed to achieve State goals needs to go beyond knowing what can be cost-effectively implemented; it needs to inform the potential that could be served by alternative channels outside of the strict cost-effective EE paradigm. </w:t>
      </w:r>
    </w:p>
    <w:p w14:paraId="007D7D3A" w14:textId="0A9B6741" w:rsidR="00AA0F16" w:rsidRPr="00F703AE" w:rsidRDefault="00AA0F16" w:rsidP="00AA0F16">
      <w:pPr>
        <w:pStyle w:val="ListParagraph"/>
        <w:numPr>
          <w:ilvl w:val="0"/>
          <w:numId w:val="5"/>
        </w:numPr>
        <w:rPr>
          <w:rFonts w:cstheme="minorHAnsi"/>
        </w:rPr>
      </w:pPr>
      <w:r w:rsidRPr="00F703AE">
        <w:rPr>
          <w:rFonts w:cstheme="minorHAnsi"/>
        </w:rPr>
        <w:t>The Commission should first build a fundamental understanding of the market (i.e. a market characterization) before attempting to conduct new types of analysis that direct $1B/year investments.</w:t>
      </w:r>
    </w:p>
    <w:p w14:paraId="6A184532" w14:textId="014A7B2E" w:rsidR="007B01B5" w:rsidRPr="00F703AE" w:rsidRDefault="00AA0F16" w:rsidP="007A4FB2">
      <w:pPr>
        <w:pStyle w:val="ListParagraph"/>
        <w:rPr>
          <w:rFonts w:cstheme="minorHAnsi"/>
        </w:rPr>
      </w:pPr>
      <w:r w:rsidRPr="00EE5D39">
        <w:rPr>
          <w:rFonts w:cstheme="minorHAnsi"/>
        </w:rPr>
        <w:t xml:space="preserve">Identify all </w:t>
      </w:r>
      <w:r w:rsidR="00AE3ADE">
        <w:rPr>
          <w:rFonts w:cstheme="minorHAnsi"/>
        </w:rPr>
        <w:t xml:space="preserve">energy savings </w:t>
      </w:r>
      <w:r w:rsidRPr="00EE5D39">
        <w:rPr>
          <w:rFonts w:cstheme="minorHAnsi"/>
        </w:rPr>
        <w:t>potential at the sector level inclusive of cost-ef</w:t>
      </w:r>
      <w:r w:rsidRPr="007B01B5">
        <w:rPr>
          <w:rFonts w:cstheme="minorHAnsi"/>
        </w:rPr>
        <w:t>fectiveness screens along with the stranded potential and interventions that do not meet screening criteria but still can contribute to State goals.</w:t>
      </w:r>
      <w:r w:rsidR="007B2855" w:rsidRPr="007B01B5">
        <w:rPr>
          <w:rFonts w:cstheme="minorHAnsi"/>
        </w:rPr>
        <w:t xml:space="preserve"> </w:t>
      </w:r>
      <w:r w:rsidRPr="007B01B5">
        <w:rPr>
          <w:rFonts w:cstheme="minorHAnsi"/>
        </w:rPr>
        <w:t xml:space="preserve">How can </w:t>
      </w:r>
      <w:r w:rsidR="007B01B5" w:rsidRPr="007B01B5">
        <w:rPr>
          <w:rFonts w:cstheme="minorHAnsi"/>
        </w:rPr>
        <w:t xml:space="preserve">the Potential and Goals study </w:t>
      </w:r>
      <w:r w:rsidRPr="007B01B5">
        <w:rPr>
          <w:rFonts w:cstheme="minorHAnsi"/>
        </w:rPr>
        <w:t>identify the gap, H</w:t>
      </w:r>
      <w:r w:rsidR="00A27F74" w:rsidRPr="007B01B5">
        <w:rPr>
          <w:rFonts w:cstheme="minorHAnsi"/>
        </w:rPr>
        <w:t>ard-to-</w:t>
      </w:r>
      <w:r w:rsidRPr="007B01B5">
        <w:rPr>
          <w:rFonts w:cstheme="minorHAnsi"/>
        </w:rPr>
        <w:t>R</w:t>
      </w:r>
      <w:r w:rsidR="00A27F74" w:rsidRPr="007B01B5">
        <w:rPr>
          <w:rFonts w:cstheme="minorHAnsi"/>
        </w:rPr>
        <w:t>each</w:t>
      </w:r>
      <w:r w:rsidRPr="007B01B5">
        <w:rPr>
          <w:rFonts w:cstheme="minorHAnsi"/>
        </w:rPr>
        <w:t xml:space="preserve"> and underserved, </w:t>
      </w:r>
      <w:r w:rsidR="00A27F74" w:rsidRPr="007B01B5">
        <w:rPr>
          <w:rFonts w:cstheme="minorHAnsi"/>
        </w:rPr>
        <w:t xml:space="preserve">Disadvantaged </w:t>
      </w:r>
      <w:r w:rsidRPr="007B01B5">
        <w:rPr>
          <w:rFonts w:cstheme="minorHAnsi"/>
        </w:rPr>
        <w:t>C</w:t>
      </w:r>
      <w:r w:rsidR="00A27F74" w:rsidRPr="007B01B5">
        <w:rPr>
          <w:rFonts w:cstheme="minorHAnsi"/>
        </w:rPr>
        <w:t>ommunities (DACs)</w:t>
      </w:r>
      <w:r w:rsidR="007B2855" w:rsidRPr="007B01B5">
        <w:rPr>
          <w:rFonts w:cstheme="minorHAnsi"/>
        </w:rPr>
        <w:t xml:space="preserve"> </w:t>
      </w:r>
      <w:r w:rsidRPr="007B01B5">
        <w:rPr>
          <w:rFonts w:cstheme="minorHAnsi"/>
        </w:rPr>
        <w:t>etc.</w:t>
      </w:r>
      <w:r w:rsidR="002825FB" w:rsidRPr="007B01B5">
        <w:rPr>
          <w:rFonts w:cstheme="minorHAnsi"/>
        </w:rPr>
        <w:t>?</w:t>
      </w:r>
      <w:r w:rsidRPr="007B01B5">
        <w:rPr>
          <w:rFonts w:cstheme="minorHAnsi"/>
        </w:rPr>
        <w:t xml:space="preserve"> How can it inform outside funding if ratepayer funds cannot immediately address the gap</w:t>
      </w:r>
      <w:r w:rsidR="002825FB" w:rsidRPr="007B01B5">
        <w:rPr>
          <w:rFonts w:cstheme="minorHAnsi"/>
        </w:rPr>
        <w:t>?</w:t>
      </w:r>
    </w:p>
    <w:p w14:paraId="186EA898" w14:textId="77777777" w:rsidR="00F703AE" w:rsidRPr="00EE5D39" w:rsidRDefault="00F703AE" w:rsidP="00EE5D39">
      <w:pPr>
        <w:pStyle w:val="ListParagraph"/>
        <w:rPr>
          <w:rFonts w:cstheme="minorHAnsi"/>
          <w:b/>
          <w:bCs/>
          <w:i/>
          <w:iCs/>
        </w:rPr>
      </w:pPr>
    </w:p>
    <w:p w14:paraId="26A267C4" w14:textId="32713E57" w:rsidR="00855C52" w:rsidRPr="00F703AE" w:rsidRDefault="00855C52" w:rsidP="00F703AE">
      <w:pPr>
        <w:pStyle w:val="ListParagraph"/>
        <w:numPr>
          <w:ilvl w:val="0"/>
          <w:numId w:val="14"/>
        </w:numPr>
        <w:shd w:val="clear" w:color="auto" w:fill="FFFFFF"/>
        <w:spacing w:after="0" w:line="240" w:lineRule="auto"/>
        <w:textAlignment w:val="baseline"/>
        <w:rPr>
          <w:rFonts w:eastAsia="Times New Roman" w:cstheme="minorHAnsi"/>
          <w:b/>
          <w:bCs/>
          <w:i/>
          <w:iCs/>
          <w:color w:val="000000"/>
        </w:rPr>
      </w:pPr>
      <w:r w:rsidRPr="00F703AE">
        <w:rPr>
          <w:rFonts w:eastAsia="Times New Roman" w:cstheme="minorHAnsi"/>
          <w:b/>
          <w:bCs/>
          <w:i/>
          <w:iCs/>
          <w:color w:val="000000"/>
          <w:bdr w:val="none" w:sz="0" w:space="0" w:color="auto" w:frame="1"/>
        </w:rPr>
        <w:t>What should be the primary objectives of the Potential and Goals study?</w:t>
      </w:r>
    </w:p>
    <w:p w14:paraId="3E48734F" w14:textId="4A1D8752" w:rsidR="00F703AE" w:rsidRPr="00F703AE" w:rsidRDefault="007B2855" w:rsidP="00F703AE">
      <w:pPr>
        <w:spacing w:before="240" w:after="240" w:line="240" w:lineRule="auto"/>
        <w:rPr>
          <w:rFonts w:eastAsia="Times New Roman" w:cstheme="minorHAnsi"/>
        </w:rPr>
      </w:pPr>
      <w:r w:rsidRPr="007B2855">
        <w:rPr>
          <w:rFonts w:eastAsia="Times New Roman" w:cstheme="minorHAnsi"/>
          <w:color w:val="000000"/>
        </w:rPr>
        <w:t>The current goals</w:t>
      </w:r>
      <w:r w:rsidR="00287188">
        <w:rPr>
          <w:rFonts w:eastAsia="Times New Roman" w:cstheme="minorHAnsi"/>
          <w:color w:val="000000"/>
        </w:rPr>
        <w:t xml:space="preserve"> of the P&amp;G study</w:t>
      </w:r>
      <w:r w:rsidRPr="007B2855">
        <w:rPr>
          <w:rFonts w:eastAsia="Times New Roman" w:cstheme="minorHAnsi"/>
          <w:color w:val="000000"/>
        </w:rPr>
        <w:t xml:space="preserve"> include</w:t>
      </w:r>
      <w:r w:rsidRPr="00F703AE">
        <w:rPr>
          <w:rFonts w:eastAsia="Times New Roman" w:cstheme="minorHAnsi"/>
          <w:color w:val="000000"/>
        </w:rPr>
        <w:t>:</w:t>
      </w:r>
    </w:p>
    <w:p w14:paraId="60DE7B04" w14:textId="77777777" w:rsidR="00F703AE" w:rsidRPr="00F703AE" w:rsidRDefault="007B2855" w:rsidP="00F703AE">
      <w:pPr>
        <w:pStyle w:val="ListParagraph"/>
        <w:numPr>
          <w:ilvl w:val="0"/>
          <w:numId w:val="13"/>
        </w:numPr>
        <w:spacing w:before="240" w:after="240" w:line="240" w:lineRule="auto"/>
        <w:rPr>
          <w:rFonts w:eastAsia="Times New Roman" w:cstheme="minorHAnsi"/>
        </w:rPr>
      </w:pPr>
      <w:r w:rsidRPr="00F703AE">
        <w:rPr>
          <w:rFonts w:eastAsia="Times New Roman" w:cstheme="minorHAnsi"/>
          <w:color w:val="333333"/>
          <w:shd w:val="clear" w:color="auto" w:fill="FFFFFF"/>
        </w:rPr>
        <w:t>To provide guidance for the utilities’ next energy efficiency portfolios</w:t>
      </w:r>
    </w:p>
    <w:p w14:paraId="0823DF18" w14:textId="77777777" w:rsidR="00F703AE" w:rsidRPr="00F703AE" w:rsidRDefault="007B2855" w:rsidP="00F703AE">
      <w:pPr>
        <w:pStyle w:val="ListParagraph"/>
        <w:numPr>
          <w:ilvl w:val="0"/>
          <w:numId w:val="13"/>
        </w:numPr>
        <w:spacing w:before="240" w:after="240" w:line="240" w:lineRule="auto"/>
        <w:rPr>
          <w:rFonts w:eastAsia="Times New Roman" w:cstheme="minorHAnsi"/>
        </w:rPr>
      </w:pPr>
      <w:r w:rsidRPr="00F703AE">
        <w:rPr>
          <w:rFonts w:eastAsia="Times New Roman" w:cstheme="minorHAnsi"/>
          <w:color w:val="333333"/>
          <w:shd w:val="clear" w:color="auto" w:fill="FFFFFF"/>
        </w:rPr>
        <w:t>To update the forecast for energy procurement planning</w:t>
      </w:r>
    </w:p>
    <w:p w14:paraId="1E9210A9" w14:textId="77777777" w:rsidR="00F703AE" w:rsidRPr="00F703AE" w:rsidRDefault="007B2855" w:rsidP="00F703AE">
      <w:pPr>
        <w:pStyle w:val="ListParagraph"/>
        <w:numPr>
          <w:ilvl w:val="0"/>
          <w:numId w:val="13"/>
        </w:numPr>
        <w:spacing w:before="240" w:after="240" w:line="240" w:lineRule="auto"/>
        <w:rPr>
          <w:rFonts w:eastAsia="Times New Roman" w:cstheme="minorHAnsi"/>
        </w:rPr>
      </w:pPr>
      <w:r w:rsidRPr="00F703AE">
        <w:rPr>
          <w:rFonts w:eastAsia="Times New Roman" w:cstheme="minorHAnsi"/>
          <w:color w:val="333333"/>
          <w:shd w:val="clear" w:color="auto" w:fill="FFFFFF"/>
        </w:rPr>
        <w:t>To inform strategic contributions to California’s greenhouse gas reduction targets</w:t>
      </w:r>
    </w:p>
    <w:p w14:paraId="02604148" w14:textId="5D3D9536" w:rsidR="007B2855" w:rsidRPr="00F703AE" w:rsidRDefault="007B2855" w:rsidP="00F703AE">
      <w:pPr>
        <w:pStyle w:val="ListParagraph"/>
        <w:numPr>
          <w:ilvl w:val="0"/>
          <w:numId w:val="13"/>
        </w:numPr>
        <w:spacing w:before="240" w:after="240" w:line="240" w:lineRule="auto"/>
        <w:rPr>
          <w:rFonts w:eastAsia="Times New Roman" w:cstheme="minorHAnsi"/>
        </w:rPr>
      </w:pPr>
      <w:r w:rsidRPr="00F703AE">
        <w:rPr>
          <w:rFonts w:eastAsia="Times New Roman" w:cstheme="minorHAnsi"/>
          <w:color w:val="333333"/>
          <w:shd w:val="clear" w:color="auto" w:fill="FFFFFF"/>
        </w:rPr>
        <w:t>To set benchmarks for shareholder incentives</w:t>
      </w:r>
    </w:p>
    <w:p w14:paraId="64A4E10F" w14:textId="7135BE86" w:rsidR="00F703AE" w:rsidRPr="00F703AE" w:rsidRDefault="007B2855" w:rsidP="00F703AE">
      <w:pPr>
        <w:spacing w:before="240" w:after="240" w:line="240" w:lineRule="auto"/>
        <w:rPr>
          <w:rFonts w:eastAsia="Times New Roman" w:cstheme="minorHAnsi"/>
        </w:rPr>
      </w:pPr>
      <w:r w:rsidRPr="007B2855">
        <w:rPr>
          <w:rFonts w:eastAsia="Times New Roman" w:cstheme="minorHAnsi"/>
          <w:color w:val="333333"/>
          <w:shd w:val="clear" w:color="auto" w:fill="FFFFFF"/>
        </w:rPr>
        <w:t xml:space="preserve">While </w:t>
      </w:r>
      <w:r w:rsidR="00AE3ADE">
        <w:rPr>
          <w:rFonts w:eastAsia="Times New Roman" w:cstheme="minorHAnsi"/>
          <w:color w:val="333333"/>
          <w:shd w:val="clear" w:color="auto" w:fill="FFFFFF"/>
        </w:rPr>
        <w:t>the current</w:t>
      </w:r>
      <w:r w:rsidR="00AE3ADE" w:rsidRPr="007B2855">
        <w:rPr>
          <w:rFonts w:eastAsia="Times New Roman" w:cstheme="minorHAnsi"/>
          <w:color w:val="333333"/>
          <w:shd w:val="clear" w:color="auto" w:fill="FFFFFF"/>
        </w:rPr>
        <w:t xml:space="preserve"> </w:t>
      </w:r>
      <w:r w:rsidR="00AE3ADE">
        <w:rPr>
          <w:rFonts w:eastAsia="Times New Roman" w:cstheme="minorHAnsi"/>
          <w:color w:val="333333"/>
          <w:shd w:val="clear" w:color="auto" w:fill="FFFFFF"/>
        </w:rPr>
        <w:t>intent of the P&amp;G study</w:t>
      </w:r>
      <w:r w:rsidR="00AE3ADE" w:rsidRPr="007B2855">
        <w:rPr>
          <w:rFonts w:eastAsia="Times New Roman" w:cstheme="minorHAnsi"/>
          <w:color w:val="333333"/>
          <w:shd w:val="clear" w:color="auto" w:fill="FFFFFF"/>
        </w:rPr>
        <w:t xml:space="preserve"> </w:t>
      </w:r>
      <w:proofErr w:type="gramStart"/>
      <w:r w:rsidRPr="007B2855">
        <w:rPr>
          <w:rFonts w:eastAsia="Times New Roman" w:cstheme="minorHAnsi"/>
          <w:color w:val="333333"/>
          <w:shd w:val="clear" w:color="auto" w:fill="FFFFFF"/>
        </w:rPr>
        <w:t>date</w:t>
      </w:r>
      <w:r w:rsidR="00AE3ADE">
        <w:rPr>
          <w:rFonts w:eastAsia="Times New Roman" w:cstheme="minorHAnsi"/>
          <w:color w:val="333333"/>
          <w:shd w:val="clear" w:color="auto" w:fill="FFFFFF"/>
        </w:rPr>
        <w:t>s</w:t>
      </w:r>
      <w:r w:rsidRPr="007B2855">
        <w:rPr>
          <w:rFonts w:eastAsia="Times New Roman" w:cstheme="minorHAnsi"/>
          <w:color w:val="333333"/>
          <w:shd w:val="clear" w:color="auto" w:fill="FFFFFF"/>
        </w:rPr>
        <w:t xml:space="preserve"> back to</w:t>
      </w:r>
      <w:proofErr w:type="gramEnd"/>
      <w:r w:rsidRPr="007B2855">
        <w:rPr>
          <w:rFonts w:eastAsia="Times New Roman" w:cstheme="minorHAnsi"/>
          <w:color w:val="333333"/>
          <w:shd w:val="clear" w:color="auto" w:fill="FFFFFF"/>
        </w:rPr>
        <w:t xml:space="preserve"> D.07-09-043</w:t>
      </w:r>
      <w:r w:rsidR="007B01B5">
        <w:rPr>
          <w:rFonts w:eastAsia="Times New Roman" w:cstheme="minorHAnsi"/>
          <w:color w:val="333333"/>
          <w:shd w:val="clear" w:color="auto" w:fill="FFFFFF"/>
        </w:rPr>
        <w:t>,</w:t>
      </w:r>
      <w:r w:rsidRPr="007B2855">
        <w:rPr>
          <w:rFonts w:eastAsia="Times New Roman" w:cstheme="minorHAnsi"/>
          <w:color w:val="333333"/>
          <w:shd w:val="clear" w:color="auto" w:fill="FFFFFF"/>
        </w:rPr>
        <w:t xml:space="preserve"> the complexity of the energy market in California merit</w:t>
      </w:r>
      <w:r w:rsidR="00AE3ADE">
        <w:rPr>
          <w:rFonts w:eastAsia="Times New Roman" w:cstheme="minorHAnsi"/>
          <w:color w:val="333333"/>
          <w:shd w:val="clear" w:color="auto" w:fill="FFFFFF"/>
        </w:rPr>
        <w:t>s</w:t>
      </w:r>
      <w:r w:rsidRPr="007B2855">
        <w:rPr>
          <w:rFonts w:eastAsia="Times New Roman" w:cstheme="minorHAnsi"/>
          <w:color w:val="333333"/>
          <w:shd w:val="clear" w:color="auto" w:fill="FFFFFF"/>
        </w:rPr>
        <w:t xml:space="preserve"> a broad </w:t>
      </w:r>
      <w:r w:rsidR="00AE3ADE">
        <w:rPr>
          <w:rFonts w:eastAsia="Times New Roman" w:cstheme="minorHAnsi"/>
          <w:color w:val="333333"/>
          <w:shd w:val="clear" w:color="auto" w:fill="FFFFFF"/>
        </w:rPr>
        <w:t>re-</w:t>
      </w:r>
      <w:r w:rsidRPr="007B2855">
        <w:rPr>
          <w:rFonts w:eastAsia="Times New Roman" w:cstheme="minorHAnsi"/>
          <w:color w:val="333333"/>
          <w:shd w:val="clear" w:color="auto" w:fill="FFFFFF"/>
        </w:rPr>
        <w:t>examination of the goals of the P&amp;G study. Therefore, the Joint Non-IOU PA</w:t>
      </w:r>
      <w:r w:rsidR="00074121">
        <w:rPr>
          <w:rFonts w:eastAsia="Times New Roman" w:cstheme="minorHAnsi"/>
          <w:color w:val="333333"/>
          <w:shd w:val="clear" w:color="auto" w:fill="FFFFFF"/>
        </w:rPr>
        <w:t>s</w:t>
      </w:r>
      <w:r w:rsidRPr="007B2855">
        <w:rPr>
          <w:rFonts w:eastAsia="Times New Roman" w:cstheme="minorHAnsi"/>
          <w:color w:val="333333"/>
          <w:shd w:val="clear" w:color="auto" w:fill="FFFFFF"/>
        </w:rPr>
        <w:t xml:space="preserve"> recommend the following to be added and clarified as goals:</w:t>
      </w:r>
    </w:p>
    <w:p w14:paraId="1B59EDC6" w14:textId="35DB0245" w:rsidR="00F703AE" w:rsidRPr="00F703AE" w:rsidRDefault="007B2855" w:rsidP="00F703AE">
      <w:pPr>
        <w:pStyle w:val="ListParagraph"/>
        <w:numPr>
          <w:ilvl w:val="0"/>
          <w:numId w:val="12"/>
        </w:numPr>
        <w:spacing w:before="240" w:after="240" w:line="240" w:lineRule="auto"/>
        <w:rPr>
          <w:rFonts w:eastAsia="Times New Roman" w:cstheme="minorHAnsi"/>
        </w:rPr>
      </w:pPr>
      <w:r w:rsidRPr="00F703AE">
        <w:rPr>
          <w:rFonts w:eastAsia="Times New Roman" w:cstheme="minorHAnsi"/>
          <w:color w:val="000000"/>
        </w:rPr>
        <w:t>Report the gap between CPUC funded programs and SB 350 goals so that a joint agency effort can address the</w:t>
      </w:r>
      <w:r w:rsidR="00287188">
        <w:rPr>
          <w:rFonts w:eastAsia="Times New Roman" w:cstheme="minorHAnsi"/>
          <w:color w:val="000000"/>
        </w:rPr>
        <w:t xml:space="preserve"> remaining market</w:t>
      </w:r>
      <w:r w:rsidRPr="00F703AE">
        <w:rPr>
          <w:rFonts w:eastAsia="Times New Roman" w:cstheme="minorHAnsi"/>
          <w:color w:val="000000"/>
        </w:rPr>
        <w:t xml:space="preserve"> need</w:t>
      </w:r>
    </w:p>
    <w:p w14:paraId="4EAF1C16" w14:textId="27CBD9C8" w:rsidR="00F703AE" w:rsidRPr="00F703AE" w:rsidRDefault="007B2855" w:rsidP="00F703AE">
      <w:pPr>
        <w:pStyle w:val="ListParagraph"/>
        <w:numPr>
          <w:ilvl w:val="0"/>
          <w:numId w:val="12"/>
        </w:numPr>
        <w:spacing w:before="240" w:after="240" w:line="240" w:lineRule="auto"/>
        <w:rPr>
          <w:rFonts w:eastAsia="Times New Roman" w:cstheme="minorHAnsi"/>
        </w:rPr>
      </w:pPr>
      <w:r w:rsidRPr="00F703AE">
        <w:rPr>
          <w:rFonts w:eastAsia="Times New Roman" w:cstheme="minorHAnsi"/>
          <w:color w:val="000000"/>
        </w:rPr>
        <w:t>Serve as an accessible source of information for all Program Administrator</w:t>
      </w:r>
      <w:r w:rsidR="00287188">
        <w:rPr>
          <w:rFonts w:eastAsia="Times New Roman" w:cstheme="minorHAnsi"/>
          <w:color w:val="000000"/>
        </w:rPr>
        <w:t>s’</w:t>
      </w:r>
      <w:r w:rsidRPr="00F703AE">
        <w:rPr>
          <w:rFonts w:eastAsia="Times New Roman" w:cstheme="minorHAnsi"/>
          <w:color w:val="000000"/>
        </w:rPr>
        <w:t xml:space="preserve"> (IOU and Non-IOU) planning efforts</w:t>
      </w:r>
    </w:p>
    <w:p w14:paraId="1728E718" w14:textId="00D44ACD" w:rsidR="007B2855" w:rsidRPr="00F703AE" w:rsidRDefault="007B2855" w:rsidP="00F703AE">
      <w:pPr>
        <w:pStyle w:val="ListParagraph"/>
        <w:numPr>
          <w:ilvl w:val="0"/>
          <w:numId w:val="12"/>
        </w:numPr>
        <w:spacing w:before="240" w:after="240" w:line="240" w:lineRule="auto"/>
        <w:rPr>
          <w:rFonts w:eastAsia="Times New Roman" w:cstheme="minorHAnsi"/>
        </w:rPr>
      </w:pPr>
      <w:r w:rsidRPr="00F703AE">
        <w:rPr>
          <w:rFonts w:eastAsia="Times New Roman" w:cstheme="minorHAnsi"/>
          <w:color w:val="000000"/>
        </w:rPr>
        <w:lastRenderedPageBreak/>
        <w:t xml:space="preserve">Serve as a flexible study to understand the local impacts (including those by city CCAs, County CCAs, and RENs) of EE in a changing energy supply system, electrification, and grid infrastructure connectivity and inform </w:t>
      </w:r>
      <w:r w:rsidR="007B01B5">
        <w:rPr>
          <w:rFonts w:eastAsia="Times New Roman" w:cstheme="minorHAnsi"/>
          <w:color w:val="000000"/>
        </w:rPr>
        <w:t>s</w:t>
      </w:r>
      <w:r w:rsidRPr="00F703AE">
        <w:rPr>
          <w:rFonts w:eastAsia="Times New Roman" w:cstheme="minorHAnsi"/>
          <w:color w:val="000000"/>
        </w:rPr>
        <w:t>erving Hard-to-Reach (HTR) and Disadvantaged Communities (DACs).</w:t>
      </w:r>
    </w:p>
    <w:p w14:paraId="0E004C19" w14:textId="73402BE3" w:rsidR="007B2855" w:rsidRPr="00855C52" w:rsidRDefault="007B2855" w:rsidP="00F93C60">
      <w:pPr>
        <w:spacing w:before="240" w:after="240" w:line="240" w:lineRule="auto"/>
        <w:rPr>
          <w:rFonts w:eastAsia="Times New Roman" w:cstheme="minorHAnsi"/>
        </w:rPr>
      </w:pPr>
      <w:r w:rsidRPr="007B2855">
        <w:rPr>
          <w:rFonts w:eastAsia="Times New Roman" w:cstheme="minorHAnsi"/>
          <w:color w:val="000000"/>
        </w:rPr>
        <w:t xml:space="preserve">The above approach differs from the current narrowly defined set of goals for </w:t>
      </w:r>
      <w:r w:rsidR="00987D23">
        <w:rPr>
          <w:rFonts w:eastAsia="Times New Roman" w:cstheme="minorHAnsi"/>
          <w:color w:val="000000"/>
        </w:rPr>
        <w:t>the P&amp;G study</w:t>
      </w:r>
      <w:r w:rsidRPr="007B2855">
        <w:rPr>
          <w:rFonts w:eastAsia="Times New Roman" w:cstheme="minorHAnsi"/>
          <w:color w:val="000000"/>
        </w:rPr>
        <w:t xml:space="preserve">. These goals intend to address the legislative mandates that should guide EE investment, rather than </w:t>
      </w:r>
      <w:r w:rsidR="00987D23">
        <w:rPr>
          <w:rFonts w:eastAsia="Times New Roman" w:cstheme="minorHAnsi"/>
          <w:color w:val="000000"/>
        </w:rPr>
        <w:t>be</w:t>
      </w:r>
      <w:r w:rsidR="00987D23" w:rsidRPr="007B2855">
        <w:rPr>
          <w:rFonts w:eastAsia="Times New Roman" w:cstheme="minorHAnsi"/>
          <w:color w:val="000000"/>
        </w:rPr>
        <w:t xml:space="preserve"> </w:t>
      </w:r>
      <w:r w:rsidRPr="007B2855">
        <w:rPr>
          <w:rFonts w:eastAsia="Times New Roman" w:cstheme="minorHAnsi"/>
          <w:color w:val="000000"/>
        </w:rPr>
        <w:t xml:space="preserve">constrained by regulatory interpretations. </w:t>
      </w:r>
      <w:r w:rsidR="00AE3ADE">
        <w:rPr>
          <w:rFonts w:eastAsia="Times New Roman" w:cstheme="minorHAnsi"/>
          <w:color w:val="000000"/>
        </w:rPr>
        <w:t>The non-IOU Joint Parties recommend that t</w:t>
      </w:r>
      <w:r w:rsidRPr="007B2855">
        <w:rPr>
          <w:rFonts w:eastAsia="Times New Roman" w:cstheme="minorHAnsi"/>
          <w:color w:val="000000"/>
        </w:rPr>
        <w:t>he Commission identify where it can best invest ratepayer funds and additionally report to the joint agencies where it recommends additional support to meet decarbonization and EE goals. Furthermore, the study is widely used for related proceedings and the CEC’s I</w:t>
      </w:r>
      <w:r w:rsidR="00725189">
        <w:rPr>
          <w:rFonts w:eastAsia="Times New Roman" w:cstheme="minorHAnsi"/>
          <w:color w:val="000000"/>
        </w:rPr>
        <w:t xml:space="preserve">ntegrated </w:t>
      </w:r>
      <w:r w:rsidRPr="007B2855">
        <w:rPr>
          <w:rFonts w:eastAsia="Times New Roman" w:cstheme="minorHAnsi"/>
          <w:color w:val="000000"/>
        </w:rPr>
        <w:t>E</w:t>
      </w:r>
      <w:r w:rsidR="00725189">
        <w:rPr>
          <w:rFonts w:eastAsia="Times New Roman" w:cstheme="minorHAnsi"/>
          <w:color w:val="000000"/>
        </w:rPr>
        <w:t xml:space="preserve">nergy </w:t>
      </w:r>
      <w:r w:rsidRPr="007B2855">
        <w:rPr>
          <w:rFonts w:eastAsia="Times New Roman" w:cstheme="minorHAnsi"/>
          <w:color w:val="000000"/>
        </w:rPr>
        <w:t>P</w:t>
      </w:r>
      <w:r w:rsidR="00725189">
        <w:rPr>
          <w:rFonts w:eastAsia="Times New Roman" w:cstheme="minorHAnsi"/>
          <w:color w:val="000000"/>
        </w:rPr>
        <w:t xml:space="preserve">olicy </w:t>
      </w:r>
      <w:r w:rsidRPr="007B2855">
        <w:rPr>
          <w:rFonts w:eastAsia="Times New Roman" w:cstheme="minorHAnsi"/>
          <w:color w:val="000000"/>
        </w:rPr>
        <w:t>R</w:t>
      </w:r>
      <w:r w:rsidR="00725189">
        <w:rPr>
          <w:rFonts w:eastAsia="Times New Roman" w:cstheme="minorHAnsi"/>
          <w:color w:val="000000"/>
        </w:rPr>
        <w:t>eport</w:t>
      </w:r>
      <w:r w:rsidR="001F0E6B">
        <w:rPr>
          <w:rFonts w:eastAsia="Times New Roman" w:cstheme="minorHAnsi"/>
          <w:color w:val="000000"/>
        </w:rPr>
        <w:t xml:space="preserve"> (IEPR)</w:t>
      </w:r>
      <w:r w:rsidRPr="007B2855">
        <w:rPr>
          <w:rFonts w:eastAsia="Times New Roman" w:cstheme="minorHAnsi"/>
          <w:color w:val="000000"/>
        </w:rPr>
        <w:t>; therefore, the study should build a fundamental understanding of the market, so that it can continually be updated in an expeditious manner as decarbonization, market transformation, load-serving entity and program administrator activities develop.</w:t>
      </w:r>
    </w:p>
    <w:p w14:paraId="37A2F122" w14:textId="77777777" w:rsidR="00F93C60" w:rsidRPr="00F93C60" w:rsidRDefault="00855C52" w:rsidP="00F93C60">
      <w:pPr>
        <w:pStyle w:val="ListParagraph"/>
        <w:numPr>
          <w:ilvl w:val="0"/>
          <w:numId w:val="14"/>
        </w:numPr>
        <w:shd w:val="clear" w:color="auto" w:fill="FFFFFF"/>
        <w:spacing w:after="0" w:line="240" w:lineRule="auto"/>
        <w:textAlignment w:val="baseline"/>
        <w:rPr>
          <w:rFonts w:eastAsia="Times New Roman" w:cstheme="minorHAnsi"/>
          <w:b/>
          <w:bCs/>
          <w:i/>
          <w:iCs/>
          <w:color w:val="000000"/>
        </w:rPr>
      </w:pPr>
      <w:r w:rsidRPr="00F93C60">
        <w:rPr>
          <w:rFonts w:eastAsia="Times New Roman" w:cstheme="minorHAnsi"/>
          <w:b/>
          <w:bCs/>
          <w:i/>
          <w:iCs/>
          <w:color w:val="000000"/>
          <w:bdr w:val="none" w:sz="0" w:space="0" w:color="auto" w:frame="1"/>
        </w:rPr>
        <w:t>Topic-specific considerations: Do you agree with the considerations discussed at the workshop regarding the issues below? Why or why not? Please propose specific methodological improvements if you feel any are needed.  Please refer to the Navigant-produced abstracts including the methodological considerations, key questions and data needs described for each topic.</w:t>
      </w:r>
    </w:p>
    <w:p w14:paraId="501EA60D" w14:textId="01097C7F" w:rsidR="00855C52" w:rsidRPr="00F93C60" w:rsidRDefault="00855C52" w:rsidP="00F93C6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F93C60">
        <w:rPr>
          <w:rFonts w:eastAsia="Times New Roman" w:cstheme="minorHAnsi"/>
          <w:b/>
          <w:bCs/>
          <w:i/>
          <w:iCs/>
          <w:color w:val="000000"/>
          <w:bdr w:val="none" w:sz="0" w:space="0" w:color="auto" w:frame="1"/>
        </w:rPr>
        <w:t>Energy efficiency-demand response analysis</w:t>
      </w:r>
    </w:p>
    <w:p w14:paraId="3203D78F" w14:textId="77777777" w:rsidR="00D30BA2" w:rsidRDefault="00D30BA2" w:rsidP="00F93C60">
      <w:pPr>
        <w:shd w:val="clear" w:color="auto" w:fill="FFFFFF"/>
        <w:spacing w:after="0" w:line="240" w:lineRule="auto"/>
        <w:ind w:left="1440"/>
        <w:textAlignment w:val="baseline"/>
        <w:rPr>
          <w:rFonts w:eastAsia="Times New Roman" w:cstheme="minorHAnsi"/>
          <w:color w:val="000000"/>
          <w:bdr w:val="none" w:sz="0" w:space="0" w:color="auto" w:frame="1"/>
        </w:rPr>
      </w:pPr>
    </w:p>
    <w:p w14:paraId="3F887F8C" w14:textId="05C274B3" w:rsidR="00F93C60" w:rsidRDefault="00F93C60" w:rsidP="00F93C60">
      <w:pPr>
        <w:shd w:val="clear" w:color="auto" w:fill="FFFFFF"/>
        <w:spacing w:after="0" w:line="240" w:lineRule="auto"/>
        <w:ind w:left="1440"/>
        <w:textAlignment w:val="baseline"/>
        <w:rPr>
          <w:rFonts w:eastAsia="Times New Roman" w:cstheme="minorHAnsi"/>
          <w:color w:val="000000"/>
        </w:rPr>
      </w:pPr>
      <w:r w:rsidRPr="00F93C60">
        <w:rPr>
          <w:rFonts w:eastAsia="Times New Roman" w:cstheme="minorHAnsi"/>
          <w:color w:val="000000"/>
          <w:bdr w:val="none" w:sz="0" w:space="0" w:color="auto" w:frame="1"/>
        </w:rPr>
        <w:t xml:space="preserve">The Commission is faced with a complex challenge: </w:t>
      </w:r>
      <w:r w:rsidRPr="00F93C60">
        <w:rPr>
          <w:rFonts w:eastAsia="Times New Roman" w:cstheme="minorHAnsi"/>
          <w:color w:val="000000"/>
        </w:rPr>
        <w:t>evaluat</w:t>
      </w:r>
      <w:r w:rsidR="00AE3ADE">
        <w:rPr>
          <w:rFonts w:eastAsia="Times New Roman" w:cstheme="minorHAnsi"/>
          <w:color w:val="000000"/>
        </w:rPr>
        <w:t>ing</w:t>
      </w:r>
      <w:r w:rsidRPr="00F93C60">
        <w:rPr>
          <w:rFonts w:eastAsia="Times New Roman" w:cstheme="minorHAnsi"/>
          <w:color w:val="000000"/>
        </w:rPr>
        <w:t xml:space="preserve"> DR’s impact on EE in the current market, </w:t>
      </w:r>
      <w:r w:rsidR="00AE3ADE">
        <w:rPr>
          <w:rFonts w:eastAsia="Times New Roman" w:cstheme="minorHAnsi"/>
          <w:color w:val="000000"/>
        </w:rPr>
        <w:t>while</w:t>
      </w:r>
      <w:r w:rsidRPr="00F93C60">
        <w:rPr>
          <w:rFonts w:eastAsia="Times New Roman" w:cstheme="minorHAnsi"/>
          <w:color w:val="000000"/>
        </w:rPr>
        <w:t xml:space="preserve"> </w:t>
      </w:r>
      <w:r w:rsidR="00AE3ADE" w:rsidRPr="00F93C60">
        <w:rPr>
          <w:rFonts w:eastAsia="Times New Roman" w:cstheme="minorHAnsi"/>
          <w:color w:val="000000"/>
        </w:rPr>
        <w:t>forecast</w:t>
      </w:r>
      <w:r w:rsidR="00AE3ADE">
        <w:rPr>
          <w:rFonts w:eastAsia="Times New Roman" w:cstheme="minorHAnsi"/>
          <w:color w:val="000000"/>
        </w:rPr>
        <w:t xml:space="preserve">ing </w:t>
      </w:r>
      <w:r w:rsidR="001F0E6B">
        <w:rPr>
          <w:rFonts w:eastAsia="Times New Roman" w:cstheme="minorHAnsi"/>
          <w:color w:val="000000"/>
        </w:rPr>
        <w:t>its</w:t>
      </w:r>
      <w:r w:rsidR="00AE3ADE">
        <w:rPr>
          <w:rFonts w:eastAsia="Times New Roman" w:cstheme="minorHAnsi"/>
          <w:color w:val="000000"/>
        </w:rPr>
        <w:t xml:space="preserve"> potential</w:t>
      </w:r>
      <w:r w:rsidR="00AE3ADE" w:rsidRPr="00F93C60">
        <w:rPr>
          <w:rFonts w:eastAsia="Times New Roman" w:cstheme="minorHAnsi"/>
          <w:color w:val="000000"/>
        </w:rPr>
        <w:t xml:space="preserve"> </w:t>
      </w:r>
      <w:r w:rsidRPr="00F93C60">
        <w:rPr>
          <w:rFonts w:eastAsia="Times New Roman" w:cstheme="minorHAnsi"/>
          <w:color w:val="000000"/>
        </w:rPr>
        <w:t>into the future</w:t>
      </w:r>
      <w:r w:rsidR="00AE3ADE">
        <w:rPr>
          <w:rFonts w:eastAsia="Times New Roman" w:cstheme="minorHAnsi"/>
          <w:color w:val="000000"/>
        </w:rPr>
        <w:t>.</w:t>
      </w:r>
      <w:r w:rsidR="00AE3ADE" w:rsidRPr="00F93C60">
        <w:rPr>
          <w:rFonts w:eastAsia="Times New Roman" w:cstheme="minorHAnsi"/>
          <w:color w:val="000000"/>
        </w:rPr>
        <w:t xml:space="preserve"> </w:t>
      </w:r>
      <w:r w:rsidRPr="00F93C60">
        <w:rPr>
          <w:rFonts w:eastAsia="Times New Roman" w:cstheme="minorHAnsi"/>
          <w:color w:val="000000"/>
        </w:rPr>
        <w:t>In the presence of a diverse Load S</w:t>
      </w:r>
      <w:r w:rsidR="007B01B5">
        <w:rPr>
          <w:rFonts w:eastAsia="Times New Roman" w:cstheme="minorHAnsi"/>
          <w:color w:val="000000"/>
        </w:rPr>
        <w:t>erving</w:t>
      </w:r>
      <w:r w:rsidRPr="00F93C60">
        <w:rPr>
          <w:rFonts w:eastAsia="Times New Roman" w:cstheme="minorHAnsi"/>
          <w:color w:val="000000"/>
        </w:rPr>
        <w:t xml:space="preserve"> Entities’ Renewable Portfolio Standards across the State, there is no single solution to forecasting these impacts. Furthermore, in the presence of local energy generation</w:t>
      </w:r>
      <w:r w:rsidR="00AE3ADE">
        <w:rPr>
          <w:rFonts w:eastAsia="Times New Roman" w:cstheme="minorHAnsi"/>
          <w:color w:val="000000"/>
        </w:rPr>
        <w:t xml:space="preserve"> behind and in front of the meter</w:t>
      </w:r>
      <w:r w:rsidRPr="00F93C60">
        <w:rPr>
          <w:rFonts w:eastAsia="Times New Roman" w:cstheme="minorHAnsi"/>
          <w:color w:val="000000"/>
        </w:rPr>
        <w:t>, or even microgrids, the duck curve may become less relevant at the local level. Avoided energy and cost curves may not reflect a single statewide scenario. Therefore, the Commission must consider a flexible, robust and durable method to better understand a wide range of scenarios of EE and DR integration that can easily be updated over time as new data becomes available and as the market evolves.</w:t>
      </w:r>
    </w:p>
    <w:p w14:paraId="0F55432A" w14:textId="77777777" w:rsidR="00D30BA2" w:rsidRDefault="00D30BA2" w:rsidP="00F93C60">
      <w:pPr>
        <w:shd w:val="clear" w:color="auto" w:fill="FFFFFF"/>
        <w:spacing w:after="0" w:line="240" w:lineRule="auto"/>
        <w:ind w:left="1440"/>
        <w:textAlignment w:val="baseline"/>
        <w:rPr>
          <w:rFonts w:eastAsia="Times New Roman" w:cstheme="minorHAnsi"/>
          <w:color w:val="000000"/>
        </w:rPr>
      </w:pPr>
    </w:p>
    <w:p w14:paraId="7482C024" w14:textId="77777777" w:rsidR="00F93C60" w:rsidRPr="00F93C60" w:rsidRDefault="00855C52" w:rsidP="00F93C6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F93C60">
        <w:rPr>
          <w:rFonts w:eastAsia="Times New Roman" w:cstheme="minorHAnsi"/>
          <w:b/>
          <w:bCs/>
          <w:i/>
          <w:iCs/>
          <w:color w:val="000000"/>
          <w:bdr w:val="none" w:sz="0" w:space="0" w:color="auto" w:frame="1"/>
        </w:rPr>
        <w:t>Fuel Substitution</w:t>
      </w:r>
    </w:p>
    <w:p w14:paraId="7C416C3E" w14:textId="77777777" w:rsidR="00D30BA2" w:rsidRDefault="00D30BA2" w:rsidP="00F93C6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p>
    <w:p w14:paraId="79B4BC63" w14:textId="70A89514" w:rsidR="00D30BA2" w:rsidRDefault="00F93C60" w:rsidP="00D30BA2">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r w:rsidRPr="00D30BA2">
        <w:rPr>
          <w:rFonts w:eastAsia="Times New Roman" w:cstheme="minorHAnsi"/>
          <w:color w:val="000000"/>
          <w:bdr w:val="none" w:sz="0" w:space="0" w:color="auto" w:frame="1"/>
        </w:rPr>
        <w:t>Additionally</w:t>
      </w:r>
      <w:r w:rsidR="00D30BA2">
        <w:rPr>
          <w:rFonts w:eastAsia="Times New Roman" w:cstheme="minorHAnsi"/>
          <w:color w:val="000000"/>
          <w:bdr w:val="none" w:sz="0" w:space="0" w:color="auto" w:frame="1"/>
        </w:rPr>
        <w:t>, e</w:t>
      </w:r>
      <w:r w:rsidRPr="00D30BA2">
        <w:rPr>
          <w:rFonts w:eastAsia="Times New Roman" w:cstheme="minorHAnsi"/>
          <w:color w:val="000000"/>
          <w:bdr w:val="none" w:sz="0" w:space="0" w:color="auto" w:frame="1"/>
        </w:rPr>
        <w:t xml:space="preserve">lectrification of buildings represents an important strategy to reduce greenhouse gas emissions. </w:t>
      </w:r>
      <w:r w:rsidR="00D30BA2" w:rsidRPr="00D30BA2">
        <w:rPr>
          <w:rFonts w:eastAsia="Times New Roman" w:cstheme="minorHAnsi"/>
          <w:color w:val="000000"/>
          <w:bdr w:val="none" w:sz="0" w:space="0" w:color="auto" w:frame="1"/>
        </w:rPr>
        <w:t xml:space="preserve">Understanding and planning for this big shift will be important. </w:t>
      </w:r>
      <w:r w:rsidRPr="00D30BA2">
        <w:rPr>
          <w:rFonts w:eastAsia="Times New Roman" w:cstheme="minorHAnsi"/>
          <w:color w:val="000000"/>
          <w:bdr w:val="none" w:sz="0" w:space="0" w:color="auto" w:frame="1"/>
        </w:rPr>
        <w:t>How can PAs integrate electrification and EE as the market evolves?</w:t>
      </w:r>
      <w:r w:rsidR="00D30BA2" w:rsidRPr="00D30BA2">
        <w:rPr>
          <w:rFonts w:eastAsia="Times New Roman" w:cstheme="minorHAnsi"/>
          <w:color w:val="000000"/>
          <w:bdr w:val="none" w:sz="0" w:space="0" w:color="auto" w:frame="1"/>
        </w:rPr>
        <w:t xml:space="preserve"> </w:t>
      </w:r>
      <w:r w:rsidR="00D30BA2">
        <w:rPr>
          <w:rFonts w:eastAsia="Times New Roman" w:cstheme="minorHAnsi"/>
          <w:color w:val="000000"/>
          <w:bdr w:val="none" w:sz="0" w:space="0" w:color="auto" w:frame="1"/>
        </w:rPr>
        <w:t>T</w:t>
      </w:r>
      <w:r w:rsidR="00D30BA2" w:rsidRPr="00D30BA2">
        <w:rPr>
          <w:rFonts w:eastAsia="Times New Roman" w:cstheme="minorHAnsi"/>
          <w:color w:val="000000"/>
          <w:bdr w:val="none" w:sz="0" w:space="0" w:color="auto" w:frame="1"/>
        </w:rPr>
        <w:t xml:space="preserve">he Commission needs to consider non-energy benefits and impacts in the short and long term to inform interactivity between fuel substitution and EE. </w:t>
      </w:r>
      <w:r w:rsidRPr="00D30BA2">
        <w:rPr>
          <w:rFonts w:eastAsia="Times New Roman" w:cstheme="minorHAnsi"/>
          <w:color w:val="000000"/>
          <w:bdr w:val="none" w:sz="0" w:space="0" w:color="auto" w:frame="1"/>
        </w:rPr>
        <w:t>Different scenarios of EE</w:t>
      </w:r>
      <w:r w:rsidR="00AE3ADE">
        <w:rPr>
          <w:rFonts w:eastAsia="Times New Roman" w:cstheme="minorHAnsi"/>
          <w:color w:val="000000"/>
          <w:bdr w:val="none" w:sz="0" w:space="0" w:color="auto" w:frame="1"/>
        </w:rPr>
        <w:t>, fuel substitution and d</w:t>
      </w:r>
      <w:r w:rsidRPr="00D30BA2">
        <w:rPr>
          <w:rFonts w:eastAsia="Times New Roman" w:cstheme="minorHAnsi"/>
          <w:color w:val="000000"/>
          <w:bdr w:val="none" w:sz="0" w:space="0" w:color="auto" w:frame="1"/>
        </w:rPr>
        <w:t>ecarb</w:t>
      </w:r>
      <w:r w:rsidR="00AE3ADE">
        <w:rPr>
          <w:rFonts w:eastAsia="Times New Roman" w:cstheme="minorHAnsi"/>
          <w:color w:val="000000"/>
          <w:bdr w:val="none" w:sz="0" w:space="0" w:color="auto" w:frame="1"/>
        </w:rPr>
        <w:t>onization</w:t>
      </w:r>
      <w:r w:rsidRPr="00D30BA2">
        <w:rPr>
          <w:rFonts w:eastAsia="Times New Roman" w:cstheme="minorHAnsi"/>
          <w:color w:val="000000"/>
          <w:bdr w:val="none" w:sz="0" w:space="0" w:color="auto" w:frame="1"/>
        </w:rPr>
        <w:t xml:space="preserve"> integration would be helpful and informative. </w:t>
      </w:r>
    </w:p>
    <w:p w14:paraId="3B281B4A" w14:textId="77777777" w:rsidR="00D30BA2" w:rsidRPr="00D30BA2" w:rsidRDefault="00D30BA2" w:rsidP="00D30BA2">
      <w:pPr>
        <w:shd w:val="clear" w:color="auto" w:fill="FFFFFF"/>
        <w:spacing w:after="0" w:line="240" w:lineRule="auto"/>
        <w:textAlignment w:val="baseline"/>
        <w:rPr>
          <w:rFonts w:eastAsia="Times New Roman" w:cstheme="minorHAnsi"/>
          <w:i/>
          <w:iCs/>
          <w:color w:val="000000"/>
          <w:bdr w:val="none" w:sz="0" w:space="0" w:color="auto" w:frame="1"/>
        </w:rPr>
      </w:pPr>
    </w:p>
    <w:p w14:paraId="55A92768" w14:textId="5B8D71C2" w:rsidR="00D30BA2" w:rsidRDefault="00855C52" w:rsidP="00D30BA2">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D30BA2">
        <w:rPr>
          <w:rFonts w:eastAsia="Times New Roman" w:cstheme="minorHAnsi"/>
          <w:b/>
          <w:bCs/>
          <w:i/>
          <w:iCs/>
          <w:color w:val="000000"/>
          <w:bdr w:val="none" w:sz="0" w:space="0" w:color="auto" w:frame="1"/>
        </w:rPr>
        <w:t>Data and analysis for RENs and CCAs (including which items are critical to be included in the Potential and Goals Study itself)</w:t>
      </w:r>
    </w:p>
    <w:p w14:paraId="6A7F69DC" w14:textId="77777777" w:rsidR="006510B0" w:rsidRDefault="006510B0" w:rsidP="006510B0">
      <w:pPr>
        <w:shd w:val="clear" w:color="auto" w:fill="FFFFFF"/>
        <w:spacing w:after="0"/>
        <w:ind w:left="1440"/>
        <w:rPr>
          <w:color w:val="000000"/>
        </w:rPr>
      </w:pPr>
    </w:p>
    <w:p w14:paraId="3F4A7F70" w14:textId="70B91A7E" w:rsidR="006510B0" w:rsidRDefault="006510B0" w:rsidP="00252CF3">
      <w:pPr>
        <w:shd w:val="clear" w:color="auto" w:fill="FFFFFF"/>
        <w:spacing w:after="0"/>
        <w:ind w:left="1440"/>
        <w:rPr>
          <w:color w:val="000000"/>
        </w:rPr>
      </w:pPr>
      <w:r>
        <w:rPr>
          <w:color w:val="000000"/>
        </w:rPr>
        <w:t xml:space="preserve">It was discussed at the workshop to </w:t>
      </w:r>
      <w:r w:rsidR="00074121">
        <w:rPr>
          <w:color w:val="000000"/>
        </w:rPr>
        <w:t>assess the EE potential for an</w:t>
      </w:r>
      <w:r>
        <w:rPr>
          <w:color w:val="000000"/>
        </w:rPr>
        <w:t xml:space="preserve"> IOU</w:t>
      </w:r>
      <w:r w:rsidR="00074121">
        <w:rPr>
          <w:color w:val="000000"/>
        </w:rPr>
        <w:t xml:space="preserve"> </w:t>
      </w:r>
      <w:r>
        <w:rPr>
          <w:color w:val="000000"/>
        </w:rPr>
        <w:t xml:space="preserve">and </w:t>
      </w:r>
      <w:r w:rsidR="00074121">
        <w:rPr>
          <w:color w:val="000000"/>
        </w:rPr>
        <w:t xml:space="preserve">then </w:t>
      </w:r>
      <w:r>
        <w:rPr>
          <w:color w:val="000000"/>
        </w:rPr>
        <w:t>carve out REN/CCA potential.</w:t>
      </w:r>
      <w:r w:rsidR="00252CF3">
        <w:rPr>
          <w:color w:val="000000"/>
        </w:rPr>
        <w:t xml:space="preserve"> </w:t>
      </w:r>
      <w:r w:rsidR="00252CF3">
        <w:rPr>
          <w:color w:val="000000"/>
        </w:rPr>
        <w:t>We are not confident that</w:t>
      </w:r>
      <w:r w:rsidR="00252CF3" w:rsidRPr="006510B0">
        <w:rPr>
          <w:color w:val="000000"/>
        </w:rPr>
        <w:t xml:space="preserve"> </w:t>
      </w:r>
      <w:r w:rsidR="00252CF3">
        <w:rPr>
          <w:color w:val="000000"/>
        </w:rPr>
        <w:t>scaling down</w:t>
      </w:r>
      <w:r w:rsidR="00252CF3">
        <w:rPr>
          <w:color w:val="000000"/>
        </w:rPr>
        <w:t xml:space="preserve"> or providing a percent allocation of</w:t>
      </w:r>
      <w:r w:rsidR="00252CF3">
        <w:rPr>
          <w:color w:val="000000"/>
        </w:rPr>
        <w:t xml:space="preserve"> IOU goals or potential to a CCA or REN service area under the current methods would yield actionable insights to Commission guidance and PA program </w:t>
      </w:r>
      <w:r w:rsidR="00252CF3">
        <w:rPr>
          <w:color w:val="000000"/>
        </w:rPr>
        <w:lastRenderedPageBreak/>
        <w:t>design.</w:t>
      </w:r>
      <w:r w:rsidR="00252CF3">
        <w:rPr>
          <w:color w:val="000000"/>
        </w:rPr>
        <w:t xml:space="preserve"> </w:t>
      </w:r>
      <w:r w:rsidRPr="006510B0">
        <w:rPr>
          <w:color w:val="000000"/>
        </w:rPr>
        <w:t>REN</w:t>
      </w:r>
      <w:r w:rsidR="00074121">
        <w:rPr>
          <w:color w:val="000000"/>
        </w:rPr>
        <w:t xml:space="preserve"> and </w:t>
      </w:r>
      <w:r w:rsidRPr="006510B0">
        <w:rPr>
          <w:color w:val="000000"/>
        </w:rPr>
        <w:t xml:space="preserve">CCA service </w:t>
      </w:r>
      <w:r w:rsidR="001F0E6B">
        <w:rPr>
          <w:color w:val="000000"/>
        </w:rPr>
        <w:t xml:space="preserve">areas </w:t>
      </w:r>
      <w:r w:rsidR="001F0E6B" w:rsidRPr="006510B0">
        <w:rPr>
          <w:color w:val="000000"/>
        </w:rPr>
        <w:t>are</w:t>
      </w:r>
      <w:r w:rsidRPr="006510B0">
        <w:rPr>
          <w:color w:val="000000"/>
        </w:rPr>
        <w:t xml:space="preserve"> composed of a different mix of demographics, climate zones, and building characteristics compared to their respective IOU</w:t>
      </w:r>
      <w:r w:rsidR="00074121">
        <w:rPr>
          <w:color w:val="000000"/>
        </w:rPr>
        <w:t xml:space="preserve"> </w:t>
      </w:r>
      <w:proofErr w:type="gramStart"/>
      <w:r w:rsidR="00074121">
        <w:rPr>
          <w:color w:val="000000"/>
        </w:rPr>
        <w:t>territories</w:t>
      </w:r>
      <w:r w:rsidRPr="006510B0">
        <w:rPr>
          <w:color w:val="000000"/>
        </w:rPr>
        <w:t xml:space="preserve"> as a whole</w:t>
      </w:r>
      <w:proofErr w:type="gramEnd"/>
      <w:r w:rsidRPr="006510B0">
        <w:rPr>
          <w:color w:val="000000"/>
        </w:rPr>
        <w:t>.</w:t>
      </w:r>
      <w:r>
        <w:rPr>
          <w:color w:val="000000"/>
        </w:rPr>
        <w:t xml:space="preserve"> </w:t>
      </w:r>
    </w:p>
    <w:p w14:paraId="4C863F9E" w14:textId="77777777" w:rsidR="006510B0" w:rsidRDefault="006510B0" w:rsidP="006510B0">
      <w:pPr>
        <w:shd w:val="clear" w:color="auto" w:fill="FFFFFF"/>
        <w:spacing w:after="0"/>
        <w:ind w:left="1440"/>
        <w:rPr>
          <w:color w:val="000000"/>
        </w:rPr>
      </w:pPr>
    </w:p>
    <w:p w14:paraId="6811BF17" w14:textId="2DFBEFD0" w:rsidR="006510B0" w:rsidRDefault="00074121" w:rsidP="006510B0">
      <w:pPr>
        <w:shd w:val="clear" w:color="auto" w:fill="FFFFFF"/>
        <w:spacing w:after="0"/>
        <w:ind w:left="1440"/>
        <w:rPr>
          <w:color w:val="000000"/>
        </w:rPr>
      </w:pPr>
      <w:r>
        <w:rPr>
          <w:color w:val="000000"/>
        </w:rPr>
        <w:t xml:space="preserve">The Joint Non-IOU </w:t>
      </w:r>
      <w:r w:rsidR="001F0E6B">
        <w:rPr>
          <w:color w:val="000000"/>
        </w:rPr>
        <w:t>PAs believe</w:t>
      </w:r>
      <w:r w:rsidR="006510B0">
        <w:rPr>
          <w:color w:val="000000"/>
        </w:rPr>
        <w:t xml:space="preserve"> it is necessary to conduct </w:t>
      </w:r>
      <w:r>
        <w:rPr>
          <w:color w:val="000000"/>
        </w:rPr>
        <w:t xml:space="preserve">more detailed </w:t>
      </w:r>
      <w:r w:rsidR="006510B0">
        <w:rPr>
          <w:color w:val="000000"/>
        </w:rPr>
        <w:t>locational analysis</w:t>
      </w:r>
      <w:r w:rsidR="00C13048">
        <w:rPr>
          <w:color w:val="000000"/>
        </w:rPr>
        <w:t>, preferably at the cou</w:t>
      </w:r>
      <w:bookmarkStart w:id="0" w:name="_GoBack"/>
      <w:bookmarkEnd w:id="0"/>
      <w:r w:rsidR="00C13048">
        <w:rPr>
          <w:color w:val="000000"/>
        </w:rPr>
        <w:t>nty level,</w:t>
      </w:r>
      <w:r>
        <w:rPr>
          <w:color w:val="000000"/>
        </w:rPr>
        <w:t xml:space="preserve"> in the P&amp;G study</w:t>
      </w:r>
      <w:r w:rsidR="00C13048">
        <w:rPr>
          <w:color w:val="000000"/>
        </w:rPr>
        <w:t xml:space="preserve"> </w:t>
      </w:r>
      <w:r w:rsidR="0068275E">
        <w:rPr>
          <w:color w:val="000000"/>
        </w:rPr>
        <w:t xml:space="preserve">through bottom-up methodologies. </w:t>
      </w:r>
      <w:r w:rsidR="006510B0">
        <w:rPr>
          <w:color w:val="000000"/>
        </w:rPr>
        <w:t>We</w:t>
      </w:r>
      <w:r w:rsidR="006510B0" w:rsidRPr="006510B0">
        <w:rPr>
          <w:color w:val="000000"/>
        </w:rPr>
        <w:t xml:space="preserve"> are </w:t>
      </w:r>
      <w:r w:rsidR="00182EE7">
        <w:rPr>
          <w:color w:val="000000"/>
        </w:rPr>
        <w:t>particularly</w:t>
      </w:r>
      <w:r w:rsidR="006510B0" w:rsidRPr="006510B0">
        <w:rPr>
          <w:color w:val="000000"/>
        </w:rPr>
        <w:t xml:space="preserve"> interested in how locational analysis at a more granular level could:</w:t>
      </w:r>
    </w:p>
    <w:p w14:paraId="7BE66EFD" w14:textId="6571051F" w:rsidR="006510B0" w:rsidRDefault="006510B0" w:rsidP="006510B0">
      <w:pPr>
        <w:pStyle w:val="ListParagraph"/>
        <w:numPr>
          <w:ilvl w:val="0"/>
          <w:numId w:val="17"/>
        </w:numPr>
        <w:shd w:val="clear" w:color="auto" w:fill="FFFFFF"/>
        <w:spacing w:after="0"/>
        <w:rPr>
          <w:color w:val="000000"/>
        </w:rPr>
      </w:pPr>
      <w:r>
        <w:rPr>
          <w:color w:val="000000"/>
        </w:rPr>
        <w:t>Lead to smarter or m</w:t>
      </w:r>
      <w:r w:rsidR="00EE5D39">
        <w:rPr>
          <w:color w:val="000000"/>
        </w:rPr>
        <w:t>ore</w:t>
      </w:r>
      <w:r>
        <w:rPr>
          <w:color w:val="000000"/>
        </w:rPr>
        <w:t xml:space="preserve"> targeted </w:t>
      </w:r>
      <w:r w:rsidR="00EE5D39">
        <w:rPr>
          <w:color w:val="000000"/>
        </w:rPr>
        <w:t xml:space="preserve">energy efficiency </w:t>
      </w:r>
      <w:r w:rsidR="0068275E">
        <w:rPr>
          <w:color w:val="000000"/>
        </w:rPr>
        <w:t>program design and investment</w:t>
      </w:r>
    </w:p>
    <w:p w14:paraId="0B0A0AB3" w14:textId="3893F4E4" w:rsidR="006510B0" w:rsidRDefault="006510B0" w:rsidP="006510B0">
      <w:pPr>
        <w:pStyle w:val="ListParagraph"/>
        <w:numPr>
          <w:ilvl w:val="0"/>
          <w:numId w:val="17"/>
        </w:numPr>
        <w:shd w:val="clear" w:color="auto" w:fill="FFFFFF"/>
        <w:spacing w:after="0"/>
        <w:rPr>
          <w:color w:val="000000"/>
        </w:rPr>
      </w:pPr>
      <w:r>
        <w:rPr>
          <w:color w:val="000000"/>
        </w:rPr>
        <w:t>Lower costs</w:t>
      </w:r>
      <w:r w:rsidR="0068275E">
        <w:rPr>
          <w:color w:val="000000"/>
        </w:rPr>
        <w:t xml:space="preserve"> to ratepayers</w:t>
      </w:r>
    </w:p>
    <w:p w14:paraId="57F25ADC" w14:textId="7D598B74" w:rsidR="006510B0" w:rsidRDefault="006510B0" w:rsidP="006510B0">
      <w:pPr>
        <w:pStyle w:val="ListParagraph"/>
        <w:numPr>
          <w:ilvl w:val="0"/>
          <w:numId w:val="17"/>
        </w:numPr>
        <w:shd w:val="clear" w:color="auto" w:fill="FFFFFF"/>
        <w:spacing w:after="0"/>
        <w:rPr>
          <w:color w:val="000000"/>
        </w:rPr>
      </w:pPr>
      <w:r>
        <w:rPr>
          <w:color w:val="000000"/>
        </w:rPr>
        <w:t xml:space="preserve">Ensure </w:t>
      </w:r>
      <w:r w:rsidR="0068275E">
        <w:rPr>
          <w:color w:val="000000"/>
        </w:rPr>
        <w:t xml:space="preserve">energy system and behind the meter </w:t>
      </w:r>
      <w:r>
        <w:rPr>
          <w:color w:val="000000"/>
        </w:rPr>
        <w:t>reliability and equal access</w:t>
      </w:r>
      <w:r w:rsidR="0068275E">
        <w:rPr>
          <w:color w:val="000000"/>
        </w:rPr>
        <w:t xml:space="preserve"> to program interventions</w:t>
      </w:r>
      <w:r>
        <w:rPr>
          <w:color w:val="000000"/>
        </w:rPr>
        <w:t xml:space="preserve"> for our customers</w:t>
      </w:r>
    </w:p>
    <w:p w14:paraId="53BBC4FA" w14:textId="7CF7CC4A" w:rsidR="006510B0" w:rsidRDefault="006510B0" w:rsidP="006510B0">
      <w:pPr>
        <w:pStyle w:val="ListParagraph"/>
        <w:numPr>
          <w:ilvl w:val="0"/>
          <w:numId w:val="17"/>
        </w:numPr>
        <w:shd w:val="clear" w:color="auto" w:fill="FFFFFF"/>
        <w:spacing w:after="0"/>
        <w:rPr>
          <w:color w:val="000000"/>
        </w:rPr>
      </w:pPr>
      <w:r>
        <w:rPr>
          <w:color w:val="000000"/>
        </w:rPr>
        <w:t>Optimize planning/program designs both in terms of location targeting and incentives</w:t>
      </w:r>
    </w:p>
    <w:p w14:paraId="6F0C8FA6" w14:textId="77777777" w:rsidR="00D30BA2" w:rsidRPr="00252CF3" w:rsidRDefault="00D30BA2" w:rsidP="00252CF3">
      <w:pPr>
        <w:shd w:val="clear" w:color="auto" w:fill="FFFFFF"/>
        <w:spacing w:after="0" w:line="240" w:lineRule="auto"/>
        <w:textAlignment w:val="baseline"/>
        <w:rPr>
          <w:rFonts w:eastAsia="Times New Roman" w:cstheme="minorHAnsi"/>
          <w:color w:val="000000"/>
          <w:bdr w:val="none" w:sz="0" w:space="0" w:color="auto" w:frame="1"/>
        </w:rPr>
      </w:pPr>
    </w:p>
    <w:p w14:paraId="3B720967" w14:textId="5559B48B" w:rsidR="00855C52" w:rsidRPr="006510B0" w:rsidRDefault="00855C52" w:rsidP="00D30BA2">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Industrial and/or agricultural market sector characterization and analysis</w:t>
      </w:r>
    </w:p>
    <w:p w14:paraId="2BE12004" w14:textId="77777777" w:rsidR="00D30BA2" w:rsidRDefault="00D30BA2" w:rsidP="00D30BA2">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p>
    <w:p w14:paraId="4C4F5A93" w14:textId="730A387E" w:rsidR="006510B0" w:rsidRDefault="00D30BA2" w:rsidP="006510B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r>
        <w:rPr>
          <w:rFonts w:eastAsia="Times New Roman" w:cstheme="minorHAnsi"/>
          <w:color w:val="000000"/>
          <w:bdr w:val="none" w:sz="0" w:space="0" w:color="auto" w:frame="1"/>
        </w:rPr>
        <w:t>No comment.</w:t>
      </w:r>
    </w:p>
    <w:p w14:paraId="6A263028" w14:textId="77777777" w:rsidR="006510B0" w:rsidRDefault="006510B0" w:rsidP="006510B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p>
    <w:p w14:paraId="2655995B" w14:textId="32FCD96D" w:rsidR="006510B0" w:rsidRDefault="00855C52" w:rsidP="006510B0">
      <w:pPr>
        <w:pStyle w:val="ListParagraph"/>
        <w:numPr>
          <w:ilvl w:val="0"/>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Overall Methodology:</w:t>
      </w:r>
    </w:p>
    <w:p w14:paraId="292E008B" w14:textId="77777777" w:rsidR="00FD3180" w:rsidRPr="006510B0" w:rsidRDefault="00FD3180" w:rsidP="00FD3180">
      <w:pPr>
        <w:pStyle w:val="ListParagraph"/>
        <w:shd w:val="clear" w:color="auto" w:fill="FFFFFF"/>
        <w:spacing w:after="0" w:line="240" w:lineRule="auto"/>
        <w:textAlignment w:val="baseline"/>
        <w:rPr>
          <w:rFonts w:eastAsia="Times New Roman" w:cstheme="minorHAnsi"/>
          <w:b/>
          <w:bCs/>
          <w:i/>
          <w:iCs/>
          <w:color w:val="000000"/>
          <w:bdr w:val="none" w:sz="0" w:space="0" w:color="auto" w:frame="1"/>
        </w:rPr>
      </w:pPr>
    </w:p>
    <w:p w14:paraId="7616C823" w14:textId="64D79515"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What are the opportunities and challenges of a “top down” assessment of energy efficiency in comparison to the current “bottom up” widget-based approach? Please provide evidence to support your answer.</w:t>
      </w:r>
    </w:p>
    <w:p w14:paraId="3D7F367F" w14:textId="545A873E" w:rsidR="00FD3180" w:rsidRDefault="00FD3180" w:rsidP="00FD318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30033EF3" w14:textId="3BDE7185" w:rsidR="00FD3180" w:rsidRDefault="000D4C3B" w:rsidP="00FD318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bookmarkStart w:id="1" w:name="_Hlk26430469"/>
      <w:r w:rsidRPr="000D4C3B">
        <w:rPr>
          <w:rFonts w:eastAsia="Times New Roman" w:cstheme="minorHAnsi"/>
          <w:color w:val="000000"/>
          <w:bdr w:val="none" w:sz="0" w:space="0" w:color="auto" w:frame="1"/>
        </w:rPr>
        <w:t>A top down assessment would be helpful to identify gaps between technical potential and SB 350 or Decarbonization goals. This is because specific measures may not exist today that can be evaluated from a bottom up approach that contribute to doubling EE or decarbonization. However</w:t>
      </w:r>
      <w:r>
        <w:rPr>
          <w:rFonts w:eastAsia="Times New Roman" w:cstheme="minorHAnsi"/>
          <w:color w:val="000000"/>
          <w:bdr w:val="none" w:sz="0" w:space="0" w:color="auto" w:frame="1"/>
        </w:rPr>
        <w:t>,</w:t>
      </w:r>
      <w:r w:rsidRPr="000D4C3B">
        <w:rPr>
          <w:rFonts w:eastAsia="Times New Roman" w:cstheme="minorHAnsi"/>
          <w:color w:val="000000"/>
          <w:bdr w:val="none" w:sz="0" w:space="0" w:color="auto" w:frame="1"/>
        </w:rPr>
        <w:t xml:space="preserve"> many advances have been made at the Department of Energy and National Labs on bottom up approaches that are radically different than the current P&amp;G methodology. Recently presented at a California Technical Forum (CalTF) meeting, LADWP and NREL presented a bottom up analysis intended to serve as their P&amp;G study. The benefits of the study highlight the ability to conduct a large-scale energy efficiency analysis that is flexible and robust enough to account for DR integration and serve as a reliable forecast for long term procurement and supply side considerations. Additionally, National Grid and Xcel Energy have both used such methodologies as U.S. load serving entities when evaluating their EE potential. These are examples of how bottom up approaches can meet the suggested goals of the P&amp;G study which the Commission envisions in a complex energy market. We urge the Commission to explore these methodologies in dedicated workshops.</w:t>
      </w:r>
    </w:p>
    <w:bookmarkEnd w:id="1"/>
    <w:p w14:paraId="2B072E49" w14:textId="77777777" w:rsidR="00FD3180" w:rsidRPr="00FD3180" w:rsidRDefault="00FD3180" w:rsidP="00FD318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p>
    <w:p w14:paraId="64E51385" w14:textId="59BC5F73"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If staff were to consider using “top down” methods to assess energy efficiency savings potential, how could the study transition? Please identify areas/topics that could be incorporated in the 2021 study and areas/topics that may need further study and data collection.</w:t>
      </w:r>
    </w:p>
    <w:p w14:paraId="2AA6964C" w14:textId="77777777" w:rsidR="00FD3180" w:rsidRDefault="00FD3180" w:rsidP="00FD318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3D35F31C" w14:textId="77777777" w:rsidR="00FD3180" w:rsidRDefault="00FD3180" w:rsidP="00FD3180">
      <w:pPr>
        <w:pStyle w:val="ListParagraph"/>
        <w:shd w:val="clear" w:color="auto" w:fill="FFFFFF"/>
        <w:spacing w:after="0" w:line="240" w:lineRule="auto"/>
        <w:ind w:left="1440"/>
        <w:textAlignment w:val="baseline"/>
        <w:rPr>
          <w:rFonts w:eastAsia="Times New Roman" w:cstheme="minorHAnsi"/>
          <w:color w:val="000000"/>
          <w:bdr w:val="none" w:sz="0" w:space="0" w:color="auto" w:frame="1"/>
        </w:rPr>
      </w:pPr>
      <w:r w:rsidRPr="00FD3180">
        <w:rPr>
          <w:rFonts w:eastAsia="Times New Roman" w:cstheme="minorHAnsi"/>
          <w:color w:val="000000"/>
          <w:bdr w:val="none" w:sz="0" w:space="0" w:color="auto" w:frame="1"/>
        </w:rPr>
        <w:t>No comment.</w:t>
      </w:r>
    </w:p>
    <w:p w14:paraId="61D2C0E9" w14:textId="77777777" w:rsidR="00FD3180" w:rsidRPr="006510B0" w:rsidRDefault="00FD3180" w:rsidP="00FD318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683B7418" w14:textId="53E09B14"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Are there process changes or any additional rule-setting the CPUC must consider in order to support this transition?</w:t>
      </w:r>
    </w:p>
    <w:p w14:paraId="7CAB0AE2" w14:textId="69FB9946" w:rsidR="00FD3180" w:rsidRPr="00FD3180" w:rsidRDefault="00FD3180" w:rsidP="007443FA">
      <w:pPr>
        <w:shd w:val="clear" w:color="auto" w:fill="FFFFFF"/>
        <w:spacing w:after="0" w:line="240" w:lineRule="auto"/>
        <w:textAlignment w:val="baseline"/>
        <w:rPr>
          <w:rFonts w:eastAsia="Times New Roman" w:cstheme="minorHAnsi"/>
          <w:color w:val="000000"/>
          <w:bdr w:val="none" w:sz="0" w:space="0" w:color="auto" w:frame="1"/>
        </w:rPr>
      </w:pPr>
    </w:p>
    <w:p w14:paraId="5F046540" w14:textId="77777777" w:rsidR="00FD3180" w:rsidRPr="006510B0" w:rsidRDefault="00FD3180" w:rsidP="00FD318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232E24B3" w14:textId="2025BEF6"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6510B0">
        <w:rPr>
          <w:rFonts w:eastAsia="Times New Roman" w:cstheme="minorHAnsi"/>
          <w:b/>
          <w:bCs/>
          <w:i/>
          <w:iCs/>
          <w:color w:val="000000"/>
          <w:bdr w:val="none" w:sz="0" w:space="0" w:color="auto" w:frame="1"/>
        </w:rPr>
        <w:t>Please identify any specific data sources that should be considered for incorporation into future potential and goals studies, and explain the value of incorporating each data source, either in addition to or as a replacement to an existing data source.</w:t>
      </w:r>
    </w:p>
    <w:p w14:paraId="091BD297" w14:textId="77777777" w:rsidR="00FD3180" w:rsidRDefault="00FD3180" w:rsidP="00FD3180">
      <w:pPr>
        <w:shd w:val="clear" w:color="auto" w:fill="FFFFFF"/>
        <w:spacing w:after="0" w:line="240" w:lineRule="auto"/>
        <w:ind w:left="720"/>
        <w:textAlignment w:val="baseline"/>
        <w:rPr>
          <w:rFonts w:eastAsia="Times New Roman" w:cstheme="minorHAnsi"/>
          <w:color w:val="000000"/>
          <w:bdr w:val="none" w:sz="0" w:space="0" w:color="auto" w:frame="1"/>
        </w:rPr>
      </w:pPr>
    </w:p>
    <w:p w14:paraId="57550121" w14:textId="3031FF4C" w:rsidR="00FD3180" w:rsidRPr="00FD3180" w:rsidRDefault="00FD3180" w:rsidP="00FD3180">
      <w:pPr>
        <w:shd w:val="clear" w:color="auto" w:fill="FFFFFF"/>
        <w:spacing w:after="0" w:line="240" w:lineRule="auto"/>
        <w:ind w:left="720" w:firstLine="720"/>
        <w:textAlignment w:val="baseline"/>
        <w:rPr>
          <w:rFonts w:eastAsia="Times New Roman" w:cstheme="minorHAnsi"/>
          <w:color w:val="000000"/>
          <w:bdr w:val="none" w:sz="0" w:space="0" w:color="auto" w:frame="1"/>
        </w:rPr>
      </w:pPr>
      <w:r w:rsidRPr="00FD3180">
        <w:rPr>
          <w:rFonts w:eastAsia="Times New Roman" w:cstheme="minorHAnsi"/>
          <w:color w:val="000000"/>
          <w:bdr w:val="none" w:sz="0" w:space="0" w:color="auto" w:frame="1"/>
        </w:rPr>
        <w:t>No comment.</w:t>
      </w:r>
    </w:p>
    <w:p w14:paraId="631BA7ED" w14:textId="67A63EA1" w:rsidR="006510B0" w:rsidRDefault="006510B0" w:rsidP="006510B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6FBD96F4" w14:textId="77777777" w:rsidR="00FD3180" w:rsidRPr="006510B0" w:rsidRDefault="00FD3180" w:rsidP="006510B0">
      <w:pPr>
        <w:pStyle w:val="ListParagraph"/>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557F8C2C" w14:textId="37900943" w:rsidR="006510B0" w:rsidRDefault="00855C52" w:rsidP="006510B0">
      <w:pPr>
        <w:pStyle w:val="ListParagraph"/>
        <w:numPr>
          <w:ilvl w:val="0"/>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7443FA">
        <w:rPr>
          <w:rFonts w:eastAsia="Times New Roman" w:cstheme="minorHAnsi"/>
          <w:b/>
          <w:bCs/>
          <w:i/>
          <w:iCs/>
          <w:color w:val="000000"/>
          <w:bdr w:val="none" w:sz="0" w:space="0" w:color="auto" w:frame="1"/>
        </w:rPr>
        <w:t>Energy Efficiency – Integrated Resource Planning Incorporation Opportunities:</w:t>
      </w:r>
    </w:p>
    <w:p w14:paraId="2BC02E47" w14:textId="77777777" w:rsidR="000E0B68" w:rsidRPr="007443FA" w:rsidRDefault="000E0B68" w:rsidP="000E0B68">
      <w:pPr>
        <w:pStyle w:val="ListParagraph"/>
        <w:shd w:val="clear" w:color="auto" w:fill="FFFFFF"/>
        <w:spacing w:after="0" w:line="240" w:lineRule="auto"/>
        <w:textAlignment w:val="baseline"/>
        <w:rPr>
          <w:rFonts w:eastAsia="Times New Roman" w:cstheme="minorHAnsi"/>
          <w:b/>
          <w:bCs/>
          <w:i/>
          <w:iCs/>
          <w:color w:val="000000"/>
          <w:bdr w:val="none" w:sz="0" w:space="0" w:color="auto" w:frame="1"/>
        </w:rPr>
      </w:pPr>
    </w:p>
    <w:p w14:paraId="444144B8" w14:textId="06BC1298"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7443FA">
        <w:rPr>
          <w:rFonts w:eastAsia="Times New Roman" w:cstheme="minorHAnsi"/>
          <w:b/>
          <w:bCs/>
          <w:i/>
          <w:iCs/>
          <w:color w:val="000000"/>
          <w:bdr w:val="none" w:sz="0" w:space="0" w:color="auto" w:frame="1"/>
        </w:rPr>
        <w:t>Should staff consider optimization of energy efficiency in the Integrated Resources Planning (IRP) process in the 2021 Potential and Goals study? If yes, how? If not, why not?</w:t>
      </w:r>
    </w:p>
    <w:p w14:paraId="7821F88E" w14:textId="4CDB5863" w:rsidR="000E0B68" w:rsidRDefault="000E0B68" w:rsidP="000E0B68">
      <w:pPr>
        <w:shd w:val="clear" w:color="auto" w:fill="FFFFFF"/>
        <w:spacing w:after="0" w:line="240" w:lineRule="auto"/>
        <w:ind w:left="720"/>
        <w:textAlignment w:val="baseline"/>
        <w:rPr>
          <w:rFonts w:eastAsia="Times New Roman" w:cstheme="minorHAnsi"/>
          <w:b/>
          <w:bCs/>
          <w:i/>
          <w:iCs/>
          <w:color w:val="000000"/>
          <w:bdr w:val="none" w:sz="0" w:space="0" w:color="auto" w:frame="1"/>
        </w:rPr>
      </w:pPr>
    </w:p>
    <w:p w14:paraId="15DAB0E0" w14:textId="40F79C94" w:rsidR="000E0B68" w:rsidRDefault="000E0B68" w:rsidP="000E0B68">
      <w:pPr>
        <w:shd w:val="clear" w:color="auto" w:fill="FFFFFF"/>
        <w:spacing w:after="0" w:line="240" w:lineRule="auto"/>
        <w:ind w:left="1440"/>
        <w:textAlignment w:val="baseline"/>
        <w:rPr>
          <w:rFonts w:eastAsia="Times New Roman" w:cstheme="minorHAnsi"/>
          <w:color w:val="000000"/>
          <w:bdr w:val="none" w:sz="0" w:space="0" w:color="auto" w:frame="1"/>
        </w:rPr>
      </w:pPr>
      <w:r w:rsidRPr="000E0B68">
        <w:rPr>
          <w:rFonts w:eastAsia="Times New Roman" w:cstheme="minorHAnsi"/>
          <w:color w:val="000000"/>
          <w:bdr w:val="none" w:sz="0" w:space="0" w:color="auto" w:frame="1"/>
        </w:rPr>
        <w:t>No comment.</w:t>
      </w:r>
    </w:p>
    <w:p w14:paraId="763EB134" w14:textId="77777777" w:rsidR="000E0B68" w:rsidRPr="000E0B68" w:rsidRDefault="000E0B68" w:rsidP="000E0B68">
      <w:pPr>
        <w:shd w:val="clear" w:color="auto" w:fill="FFFFFF"/>
        <w:spacing w:after="0" w:line="240" w:lineRule="auto"/>
        <w:ind w:left="1440"/>
        <w:textAlignment w:val="baseline"/>
        <w:rPr>
          <w:rFonts w:eastAsia="Times New Roman" w:cstheme="minorHAnsi"/>
          <w:color w:val="000000"/>
          <w:bdr w:val="none" w:sz="0" w:space="0" w:color="auto" w:frame="1"/>
        </w:rPr>
      </w:pPr>
    </w:p>
    <w:p w14:paraId="2A8ADD94" w14:textId="3680C439" w:rsid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7443FA">
        <w:rPr>
          <w:rFonts w:eastAsia="Times New Roman" w:cstheme="minorHAnsi"/>
          <w:b/>
          <w:bCs/>
          <w:i/>
          <w:iCs/>
          <w:color w:val="000000"/>
          <w:bdr w:val="none" w:sz="0" w:space="0" w:color="auto" w:frame="1"/>
        </w:rPr>
        <w:t>The EE-IRP Staff Whitepaper identified areas where process modifications and further rule development may be necessary for optimization of energy efficiency in the IRP. Do you agree with staff’s proposal? Why or why not?</w:t>
      </w:r>
    </w:p>
    <w:p w14:paraId="7802E677" w14:textId="77777777" w:rsidR="000E0B68" w:rsidRDefault="000E0B68" w:rsidP="000E0B68">
      <w:pPr>
        <w:shd w:val="clear" w:color="auto" w:fill="FFFFFF"/>
        <w:spacing w:after="0" w:line="240" w:lineRule="auto"/>
        <w:ind w:left="720" w:firstLine="720"/>
        <w:textAlignment w:val="baseline"/>
        <w:rPr>
          <w:rFonts w:eastAsia="Times New Roman" w:cstheme="minorHAnsi"/>
          <w:b/>
          <w:bCs/>
          <w:i/>
          <w:iCs/>
          <w:color w:val="000000"/>
          <w:bdr w:val="none" w:sz="0" w:space="0" w:color="auto" w:frame="1"/>
        </w:rPr>
      </w:pPr>
    </w:p>
    <w:p w14:paraId="2271088E" w14:textId="6561E7B5" w:rsidR="000E0B68" w:rsidRDefault="000E0B68" w:rsidP="000E0B68">
      <w:pPr>
        <w:shd w:val="clear" w:color="auto" w:fill="FFFFFF"/>
        <w:spacing w:after="0" w:line="240" w:lineRule="auto"/>
        <w:ind w:left="720" w:firstLine="720"/>
        <w:textAlignment w:val="baseline"/>
        <w:rPr>
          <w:rFonts w:eastAsia="Times New Roman" w:cstheme="minorHAnsi"/>
          <w:color w:val="000000"/>
          <w:bdr w:val="none" w:sz="0" w:space="0" w:color="auto" w:frame="1"/>
        </w:rPr>
      </w:pPr>
      <w:r w:rsidRPr="000E0B68">
        <w:rPr>
          <w:rFonts w:eastAsia="Times New Roman" w:cstheme="minorHAnsi"/>
          <w:color w:val="000000"/>
          <w:bdr w:val="none" w:sz="0" w:space="0" w:color="auto" w:frame="1"/>
        </w:rPr>
        <w:t>No comment.</w:t>
      </w:r>
    </w:p>
    <w:p w14:paraId="1C2DC1D0" w14:textId="77777777" w:rsidR="000E0B68" w:rsidRPr="000E0B68" w:rsidRDefault="000E0B68" w:rsidP="000E0B68">
      <w:pPr>
        <w:shd w:val="clear" w:color="auto" w:fill="FFFFFF"/>
        <w:spacing w:after="0" w:line="240" w:lineRule="auto"/>
        <w:ind w:left="1440"/>
        <w:textAlignment w:val="baseline"/>
        <w:rPr>
          <w:rFonts w:eastAsia="Times New Roman" w:cstheme="minorHAnsi"/>
          <w:b/>
          <w:bCs/>
          <w:i/>
          <w:iCs/>
          <w:color w:val="000000"/>
          <w:bdr w:val="none" w:sz="0" w:space="0" w:color="auto" w:frame="1"/>
        </w:rPr>
      </w:pPr>
    </w:p>
    <w:p w14:paraId="5C70F860" w14:textId="28B107F4" w:rsidR="00855C52" w:rsidRPr="006510B0" w:rsidRDefault="00855C52" w:rsidP="006510B0">
      <w:pPr>
        <w:pStyle w:val="ListParagraph"/>
        <w:numPr>
          <w:ilvl w:val="1"/>
          <w:numId w:val="14"/>
        </w:numPr>
        <w:shd w:val="clear" w:color="auto" w:fill="FFFFFF"/>
        <w:spacing w:after="0" w:line="240" w:lineRule="auto"/>
        <w:textAlignment w:val="baseline"/>
        <w:rPr>
          <w:rFonts w:eastAsia="Times New Roman" w:cstheme="minorHAnsi"/>
          <w:b/>
          <w:bCs/>
          <w:i/>
          <w:iCs/>
          <w:color w:val="000000"/>
          <w:bdr w:val="none" w:sz="0" w:space="0" w:color="auto" w:frame="1"/>
        </w:rPr>
      </w:pPr>
      <w:r w:rsidRPr="007443FA">
        <w:rPr>
          <w:rFonts w:eastAsia="Times New Roman" w:cstheme="minorHAnsi"/>
          <w:b/>
          <w:bCs/>
          <w:i/>
          <w:iCs/>
          <w:color w:val="000000"/>
          <w:bdr w:val="none" w:sz="0" w:space="0" w:color="auto" w:frame="1"/>
        </w:rPr>
        <w:t>What role should IRP optimization of energy efficiency resources play in the development of the Study and energy efficiency goal setting?</w:t>
      </w:r>
    </w:p>
    <w:p w14:paraId="56306CA4" w14:textId="77777777" w:rsidR="006510B0" w:rsidRDefault="006510B0" w:rsidP="006510B0">
      <w:pPr>
        <w:shd w:val="clear" w:color="auto" w:fill="FFFFFF"/>
        <w:spacing w:after="0" w:line="240" w:lineRule="auto"/>
        <w:textAlignment w:val="baseline"/>
        <w:rPr>
          <w:rFonts w:eastAsia="Times New Roman" w:cstheme="minorHAnsi"/>
          <w:color w:val="000000"/>
          <w:bdr w:val="none" w:sz="0" w:space="0" w:color="auto" w:frame="1"/>
        </w:rPr>
      </w:pPr>
    </w:p>
    <w:p w14:paraId="74F551A4" w14:textId="3717DE98" w:rsidR="00855C52" w:rsidRPr="000E0B68" w:rsidRDefault="00855C52" w:rsidP="006510B0">
      <w:pPr>
        <w:pStyle w:val="ListParagraph"/>
        <w:numPr>
          <w:ilvl w:val="0"/>
          <w:numId w:val="14"/>
        </w:numPr>
        <w:shd w:val="clear" w:color="auto" w:fill="FFFFFF"/>
        <w:spacing w:after="0" w:line="240" w:lineRule="auto"/>
        <w:textAlignment w:val="baseline"/>
        <w:rPr>
          <w:rFonts w:eastAsia="Times New Roman" w:cstheme="minorHAnsi"/>
          <w:b/>
          <w:bCs/>
          <w:i/>
          <w:iCs/>
          <w:color w:val="000000"/>
        </w:rPr>
      </w:pPr>
      <w:r w:rsidRPr="006510B0">
        <w:rPr>
          <w:rFonts w:eastAsia="Times New Roman" w:cstheme="minorHAnsi"/>
          <w:b/>
          <w:bCs/>
          <w:i/>
          <w:iCs/>
          <w:color w:val="000000"/>
          <w:bdr w:val="none" w:sz="0" w:space="0" w:color="auto" w:frame="1"/>
        </w:rPr>
        <w:t>The Evolving Energy Efficiency Portfolio:</w:t>
      </w:r>
    </w:p>
    <w:p w14:paraId="29C3493B" w14:textId="77777777" w:rsidR="000E0B68" w:rsidRPr="006510B0" w:rsidRDefault="000E0B68" w:rsidP="000E0B68">
      <w:pPr>
        <w:pStyle w:val="ListParagraph"/>
        <w:shd w:val="clear" w:color="auto" w:fill="FFFFFF"/>
        <w:spacing w:after="0" w:line="240" w:lineRule="auto"/>
        <w:textAlignment w:val="baseline"/>
        <w:rPr>
          <w:rFonts w:eastAsia="Times New Roman" w:cstheme="minorHAnsi"/>
          <w:b/>
          <w:bCs/>
          <w:i/>
          <w:iCs/>
          <w:color w:val="000000"/>
        </w:rPr>
      </w:pPr>
    </w:p>
    <w:p w14:paraId="0249E775" w14:textId="044FECC7" w:rsidR="00855C52" w:rsidRPr="000E0B68" w:rsidRDefault="00855C52" w:rsidP="00855C52">
      <w:pPr>
        <w:numPr>
          <w:ilvl w:val="1"/>
          <w:numId w:val="4"/>
        </w:numPr>
        <w:shd w:val="clear" w:color="auto" w:fill="FFFFFF"/>
        <w:spacing w:after="0" w:line="240" w:lineRule="auto"/>
        <w:ind w:left="1665"/>
        <w:textAlignment w:val="baseline"/>
        <w:rPr>
          <w:rFonts w:eastAsia="Times New Roman" w:cstheme="minorHAnsi"/>
          <w:b/>
          <w:bCs/>
          <w:i/>
          <w:iCs/>
          <w:color w:val="000000"/>
        </w:rPr>
      </w:pPr>
      <w:r w:rsidRPr="00855C52">
        <w:rPr>
          <w:rFonts w:eastAsia="Times New Roman" w:cstheme="minorHAnsi"/>
          <w:b/>
          <w:bCs/>
          <w:i/>
          <w:iCs/>
          <w:color w:val="000000"/>
          <w:bdr w:val="none" w:sz="0" w:space="0" w:color="auto" w:frame="1"/>
        </w:rPr>
        <w:t>What policy-level changes (if any) should the CPUC begin to consider related to energy efficiency goal setting, to best align energy efficiency programs with the needs of California's clean energy future?</w:t>
      </w:r>
    </w:p>
    <w:p w14:paraId="093B45F8" w14:textId="77777777" w:rsidR="000E0B68" w:rsidRPr="000E0B68" w:rsidRDefault="000E0B68" w:rsidP="000E0B68">
      <w:pPr>
        <w:shd w:val="clear" w:color="auto" w:fill="FFFFFF"/>
        <w:spacing w:after="0" w:line="240" w:lineRule="auto"/>
        <w:ind w:left="1665"/>
        <w:textAlignment w:val="baseline"/>
        <w:rPr>
          <w:rFonts w:eastAsia="Times New Roman" w:cstheme="minorHAnsi"/>
          <w:color w:val="000000"/>
        </w:rPr>
      </w:pPr>
    </w:p>
    <w:p w14:paraId="7D26978E" w14:textId="41F7ECFF" w:rsidR="000E0B68" w:rsidRDefault="000E0B68" w:rsidP="000E0B68">
      <w:pPr>
        <w:shd w:val="clear" w:color="auto" w:fill="FFFFFF"/>
        <w:spacing w:after="0" w:line="240" w:lineRule="auto"/>
        <w:ind w:left="1665"/>
        <w:textAlignment w:val="baseline"/>
        <w:rPr>
          <w:rFonts w:eastAsia="Times New Roman" w:cstheme="minorHAnsi"/>
          <w:color w:val="000000"/>
          <w:bdr w:val="none" w:sz="0" w:space="0" w:color="auto" w:frame="1"/>
        </w:rPr>
      </w:pPr>
      <w:bookmarkStart w:id="2" w:name="_Hlk26431282"/>
      <w:r>
        <w:rPr>
          <w:rFonts w:eastAsia="Times New Roman" w:cstheme="minorHAnsi"/>
          <w:color w:val="000000"/>
          <w:bdr w:val="none" w:sz="0" w:space="0" w:color="auto" w:frame="1"/>
        </w:rPr>
        <w:t>No comment.</w:t>
      </w:r>
    </w:p>
    <w:bookmarkEnd w:id="2"/>
    <w:p w14:paraId="5F4BCB6D" w14:textId="77777777" w:rsidR="000E0B68" w:rsidRPr="00855C52" w:rsidRDefault="000E0B68" w:rsidP="000E0B68">
      <w:pPr>
        <w:shd w:val="clear" w:color="auto" w:fill="FFFFFF"/>
        <w:spacing w:after="0" w:line="240" w:lineRule="auto"/>
        <w:ind w:left="1665"/>
        <w:textAlignment w:val="baseline"/>
        <w:rPr>
          <w:rFonts w:eastAsia="Times New Roman" w:cstheme="minorHAnsi"/>
          <w:color w:val="000000"/>
        </w:rPr>
      </w:pPr>
    </w:p>
    <w:p w14:paraId="78D2586A" w14:textId="6464ECF3" w:rsidR="00515BAC" w:rsidRPr="000E0B68" w:rsidRDefault="00855C52" w:rsidP="00515BAC">
      <w:pPr>
        <w:numPr>
          <w:ilvl w:val="1"/>
          <w:numId w:val="4"/>
        </w:numPr>
        <w:shd w:val="clear" w:color="auto" w:fill="FFFFFF"/>
        <w:spacing w:after="0" w:line="240" w:lineRule="auto"/>
        <w:ind w:left="1665"/>
        <w:textAlignment w:val="baseline"/>
        <w:rPr>
          <w:b/>
          <w:bCs/>
          <w:i/>
          <w:iCs/>
        </w:rPr>
      </w:pPr>
      <w:r w:rsidRPr="00855C52">
        <w:rPr>
          <w:b/>
          <w:bCs/>
          <w:i/>
          <w:iCs/>
        </w:rPr>
        <w:t>What processes should the CPUC use to explore these changes?</w:t>
      </w:r>
    </w:p>
    <w:p w14:paraId="0EE30A89" w14:textId="77777777" w:rsidR="000E0B68" w:rsidRPr="000E0B68" w:rsidRDefault="000E0B68" w:rsidP="000E0B68">
      <w:pPr>
        <w:shd w:val="clear" w:color="auto" w:fill="FFFFFF"/>
        <w:spacing w:after="0" w:line="240" w:lineRule="auto"/>
        <w:ind w:left="1305"/>
        <w:textAlignment w:val="baseline"/>
        <w:rPr>
          <w:rFonts w:eastAsia="Times New Roman" w:cstheme="minorHAnsi"/>
          <w:color w:val="000000"/>
        </w:rPr>
      </w:pPr>
    </w:p>
    <w:p w14:paraId="7CC92737" w14:textId="727C6A4C" w:rsidR="000E0B68" w:rsidRDefault="000E0B68" w:rsidP="000E0B68">
      <w:pPr>
        <w:shd w:val="clear" w:color="auto" w:fill="FFFFFF"/>
        <w:spacing w:after="0" w:line="240" w:lineRule="auto"/>
        <w:ind w:left="1665"/>
        <w:textAlignment w:val="baseline"/>
        <w:rPr>
          <w:rFonts w:eastAsia="Times New Roman" w:cstheme="minorHAnsi"/>
          <w:color w:val="000000"/>
        </w:rPr>
      </w:pPr>
      <w:r w:rsidRPr="000E0B68">
        <w:rPr>
          <w:rFonts w:eastAsia="Times New Roman" w:cstheme="minorHAnsi"/>
          <w:color w:val="000000"/>
        </w:rPr>
        <w:t>No comment.</w:t>
      </w:r>
    </w:p>
    <w:p w14:paraId="2A06DD4F" w14:textId="77777777" w:rsidR="000E0B68" w:rsidRPr="00515BAC" w:rsidRDefault="000E0B68" w:rsidP="000E0B68">
      <w:pPr>
        <w:shd w:val="clear" w:color="auto" w:fill="FFFFFF"/>
        <w:spacing w:after="0" w:line="240" w:lineRule="auto"/>
        <w:ind w:left="1665"/>
        <w:textAlignment w:val="baseline"/>
        <w:rPr>
          <w:rFonts w:eastAsia="Times New Roman" w:cstheme="minorHAnsi"/>
          <w:color w:val="000000"/>
        </w:rPr>
      </w:pPr>
    </w:p>
    <w:p w14:paraId="28C5E2BC" w14:textId="34E7C22B" w:rsidR="00855C52" w:rsidRPr="000E0B68" w:rsidRDefault="00855C52" w:rsidP="00515BAC">
      <w:pPr>
        <w:pStyle w:val="ListParagraph"/>
        <w:numPr>
          <w:ilvl w:val="0"/>
          <w:numId w:val="14"/>
        </w:numPr>
        <w:shd w:val="clear" w:color="auto" w:fill="FFFFFF"/>
        <w:spacing w:after="0" w:line="240" w:lineRule="auto"/>
        <w:textAlignment w:val="baseline"/>
        <w:rPr>
          <w:rFonts w:eastAsia="Times New Roman" w:cstheme="minorHAnsi"/>
          <w:b/>
          <w:bCs/>
          <w:i/>
          <w:iCs/>
          <w:color w:val="000000"/>
        </w:rPr>
      </w:pPr>
      <w:r w:rsidRPr="000E0B68">
        <w:rPr>
          <w:rFonts w:eastAsia="Times New Roman" w:cstheme="minorHAnsi"/>
          <w:b/>
          <w:bCs/>
          <w:i/>
          <w:iCs/>
          <w:color w:val="000000"/>
          <w:bdr w:val="none" w:sz="0" w:space="0" w:color="auto" w:frame="1"/>
        </w:rPr>
        <w:t>What other topics related to the Potential and Goals Study need consideration leading to the 2021 P&amp;G Study, aside from those discussed at the October workshop and in the Navigant abstracts?  Would you prioritize those topics above those discussed at the workshop? If yes, why?</w:t>
      </w:r>
    </w:p>
    <w:p w14:paraId="3A10BBB8" w14:textId="77777777" w:rsidR="000E0B68" w:rsidRPr="000E0B68" w:rsidRDefault="000E0B68" w:rsidP="000E0B68">
      <w:pPr>
        <w:shd w:val="clear" w:color="auto" w:fill="FFFFFF"/>
        <w:spacing w:after="0" w:line="240" w:lineRule="auto"/>
        <w:ind w:left="360"/>
        <w:textAlignment w:val="baseline"/>
        <w:rPr>
          <w:rFonts w:eastAsia="Times New Roman" w:cstheme="minorHAnsi"/>
          <w:color w:val="000000"/>
        </w:rPr>
      </w:pPr>
    </w:p>
    <w:p w14:paraId="18C8697C" w14:textId="441D00B0" w:rsidR="000E0B68" w:rsidRPr="00855C52" w:rsidRDefault="000E0B68" w:rsidP="000E0B68">
      <w:pPr>
        <w:ind w:left="720"/>
        <w:rPr>
          <w:rFonts w:cstheme="minorHAnsi"/>
        </w:rPr>
      </w:pPr>
      <w:r w:rsidRPr="000E0B68">
        <w:rPr>
          <w:rFonts w:cstheme="minorHAnsi"/>
        </w:rPr>
        <w:lastRenderedPageBreak/>
        <w:t>Actively solicit feedback and working groups from subject matter experts involved in these efforts from a wide array of stakeholders. Notably, the collaboration between L</w:t>
      </w:r>
      <w:r w:rsidR="00EE5D39">
        <w:rPr>
          <w:rFonts w:cstheme="minorHAnsi"/>
        </w:rPr>
        <w:t xml:space="preserve">os </w:t>
      </w:r>
      <w:r w:rsidRPr="000E0B68">
        <w:rPr>
          <w:rFonts w:cstheme="minorHAnsi"/>
        </w:rPr>
        <w:t>A</w:t>
      </w:r>
      <w:r w:rsidR="00EE5D39">
        <w:rPr>
          <w:rFonts w:cstheme="minorHAnsi"/>
        </w:rPr>
        <w:t xml:space="preserve">ngeles Department of </w:t>
      </w:r>
      <w:r w:rsidRPr="000E0B68">
        <w:rPr>
          <w:rFonts w:cstheme="minorHAnsi"/>
        </w:rPr>
        <w:t>W</w:t>
      </w:r>
      <w:r w:rsidR="00EE5D39">
        <w:rPr>
          <w:rFonts w:cstheme="minorHAnsi"/>
        </w:rPr>
        <w:t xml:space="preserve">ater and </w:t>
      </w:r>
      <w:r w:rsidRPr="000E0B68">
        <w:rPr>
          <w:rFonts w:cstheme="minorHAnsi"/>
        </w:rPr>
        <w:t>P</w:t>
      </w:r>
      <w:r w:rsidR="00EE5D39">
        <w:rPr>
          <w:rFonts w:cstheme="minorHAnsi"/>
        </w:rPr>
        <w:t>ower (LADWP)</w:t>
      </w:r>
      <w:r w:rsidRPr="000E0B68">
        <w:rPr>
          <w:rFonts w:cstheme="minorHAnsi"/>
        </w:rPr>
        <w:t>, the D</w:t>
      </w:r>
      <w:r w:rsidR="00EE5D39">
        <w:rPr>
          <w:rFonts w:cstheme="minorHAnsi"/>
        </w:rPr>
        <w:t xml:space="preserve">epartment of </w:t>
      </w:r>
      <w:r w:rsidRPr="000E0B68">
        <w:rPr>
          <w:rFonts w:cstheme="minorHAnsi"/>
        </w:rPr>
        <w:t>E</w:t>
      </w:r>
      <w:r w:rsidR="00EE5D39">
        <w:rPr>
          <w:rFonts w:cstheme="minorHAnsi"/>
        </w:rPr>
        <w:t xml:space="preserve">nergy (DOE) </w:t>
      </w:r>
      <w:r w:rsidRPr="000E0B68">
        <w:rPr>
          <w:rFonts w:cstheme="minorHAnsi"/>
        </w:rPr>
        <w:t>and N</w:t>
      </w:r>
      <w:r w:rsidR="00EE5D39">
        <w:rPr>
          <w:rFonts w:cstheme="minorHAnsi"/>
        </w:rPr>
        <w:t>ational Renewable Energy Laboratory (NREL)</w:t>
      </w:r>
      <w:r w:rsidRPr="000E0B68">
        <w:rPr>
          <w:rFonts w:cstheme="minorHAnsi"/>
        </w:rPr>
        <w:t xml:space="preserve"> is one area where the Commission and stakeholders can understand how new approaches to bottom up analysis </w:t>
      </w:r>
      <w:r w:rsidR="00182EE7">
        <w:rPr>
          <w:rFonts w:cstheme="minorHAnsi"/>
        </w:rPr>
        <w:t>are</w:t>
      </w:r>
      <w:r w:rsidRPr="000E0B68">
        <w:rPr>
          <w:rFonts w:cstheme="minorHAnsi"/>
        </w:rPr>
        <w:t xml:space="preserve"> bridging the gap between demand and supply side planning from policy and technical perspectives. </w:t>
      </w:r>
    </w:p>
    <w:p w14:paraId="1D7D6033" w14:textId="77777777" w:rsidR="00855C52" w:rsidRPr="00855C52" w:rsidRDefault="00855C52">
      <w:pPr>
        <w:rPr>
          <w:rFonts w:cstheme="minorHAnsi"/>
        </w:rPr>
      </w:pPr>
    </w:p>
    <w:sectPr w:rsidR="00855C52" w:rsidRPr="00855C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A1EF1"/>
    <w:multiLevelType w:val="multilevel"/>
    <w:tmpl w:val="8D2A00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5A4DB2"/>
    <w:multiLevelType w:val="hybridMultilevel"/>
    <w:tmpl w:val="D3586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9A42F1"/>
    <w:multiLevelType w:val="multilevel"/>
    <w:tmpl w:val="C02E52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861E07"/>
    <w:multiLevelType w:val="hybridMultilevel"/>
    <w:tmpl w:val="729AE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42D34"/>
    <w:multiLevelType w:val="hybridMultilevel"/>
    <w:tmpl w:val="A0186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47A9B"/>
    <w:multiLevelType w:val="multilevel"/>
    <w:tmpl w:val="CCA0B6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AA7446"/>
    <w:multiLevelType w:val="multilevel"/>
    <w:tmpl w:val="C9D6C6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2B43805"/>
    <w:multiLevelType w:val="multilevel"/>
    <w:tmpl w:val="8AFED43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3C0546"/>
    <w:multiLevelType w:val="hybridMultilevel"/>
    <w:tmpl w:val="DCBCD0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C2A11A1"/>
    <w:multiLevelType w:val="multilevel"/>
    <w:tmpl w:val="F85ED5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900212"/>
    <w:multiLevelType w:val="hybridMultilevel"/>
    <w:tmpl w:val="48F66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8C17D80"/>
    <w:multiLevelType w:val="hybridMultilevel"/>
    <w:tmpl w:val="F0F0CD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C40EA0"/>
    <w:multiLevelType w:val="multilevel"/>
    <w:tmpl w:val="90488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7B4C8C"/>
    <w:multiLevelType w:val="hybridMultilevel"/>
    <w:tmpl w:val="B404A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1">
      <w:startOverride w:val="1"/>
    </w:lvlOverride>
  </w:num>
  <w:num w:numId="3">
    <w:abstractNumId w:val="5"/>
    <w:lvlOverride w:ilvl="1">
      <w:startOverride w:val="1"/>
    </w:lvlOverride>
  </w:num>
  <w:num w:numId="4">
    <w:abstractNumId w:val="5"/>
    <w:lvlOverride w:ilvl="1">
      <w:startOverride w:val="1"/>
    </w:lvlOverride>
  </w:num>
  <w:num w:numId="5">
    <w:abstractNumId w:val="3"/>
  </w:num>
  <w:num w:numId="6">
    <w:abstractNumId w:val="12"/>
  </w:num>
  <w:num w:numId="7">
    <w:abstractNumId w:val="0"/>
  </w:num>
  <w:num w:numId="8">
    <w:abstractNumId w:val="6"/>
  </w:num>
  <w:num w:numId="9">
    <w:abstractNumId w:val="7"/>
  </w:num>
  <w:num w:numId="10">
    <w:abstractNumId w:val="10"/>
  </w:num>
  <w:num w:numId="11">
    <w:abstractNumId w:val="4"/>
  </w:num>
  <w:num w:numId="12">
    <w:abstractNumId w:val="1"/>
  </w:num>
  <w:num w:numId="13">
    <w:abstractNumId w:val="13"/>
  </w:num>
  <w:num w:numId="14">
    <w:abstractNumId w:val="11"/>
  </w:num>
  <w:num w:numId="15">
    <w:abstractNumId w:val="9"/>
    <w:lvlOverride w:ilvl="2">
      <w:lvl w:ilvl="2">
        <w:numFmt w:val="lowerRoman"/>
        <w:lvlText w:val="%3."/>
        <w:lvlJc w:val="right"/>
      </w:lvl>
    </w:lvlOverride>
  </w:num>
  <w:num w:numId="16">
    <w:abstractNumId w:val="2"/>
    <w:lvlOverride w:ilvl="2">
      <w:lvl w:ilvl="2">
        <w:numFmt w:val="lowerRoman"/>
        <w:lvlText w:val="%3."/>
        <w:lvlJc w:val="right"/>
      </w:lvl>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xN7YwNTYzMTM1NDRV0lEKTi0uzszPAykwrAUAauS8xSwAAAA="/>
  </w:docVars>
  <w:rsids>
    <w:rsidRoot w:val="00855C52"/>
    <w:rsid w:val="00074121"/>
    <w:rsid w:val="000D4C3B"/>
    <w:rsid w:val="000E0B68"/>
    <w:rsid w:val="00113395"/>
    <w:rsid w:val="00176A35"/>
    <w:rsid w:val="00182EE7"/>
    <w:rsid w:val="001F0E6B"/>
    <w:rsid w:val="00252CF3"/>
    <w:rsid w:val="002825FB"/>
    <w:rsid w:val="00287188"/>
    <w:rsid w:val="00367039"/>
    <w:rsid w:val="004D3F19"/>
    <w:rsid w:val="00515BAC"/>
    <w:rsid w:val="006402D5"/>
    <w:rsid w:val="006510B0"/>
    <w:rsid w:val="0068275E"/>
    <w:rsid w:val="00725189"/>
    <w:rsid w:val="007443FA"/>
    <w:rsid w:val="007A4FB2"/>
    <w:rsid w:val="007B01B5"/>
    <w:rsid w:val="007B2855"/>
    <w:rsid w:val="00855C52"/>
    <w:rsid w:val="008E56A9"/>
    <w:rsid w:val="00987D23"/>
    <w:rsid w:val="009B4FE6"/>
    <w:rsid w:val="00A27F74"/>
    <w:rsid w:val="00AA0F16"/>
    <w:rsid w:val="00AB1F31"/>
    <w:rsid w:val="00AE3ADE"/>
    <w:rsid w:val="00B67F62"/>
    <w:rsid w:val="00C13048"/>
    <w:rsid w:val="00C82526"/>
    <w:rsid w:val="00D30BA2"/>
    <w:rsid w:val="00D4679D"/>
    <w:rsid w:val="00E85DBF"/>
    <w:rsid w:val="00EE5D39"/>
    <w:rsid w:val="00F703AE"/>
    <w:rsid w:val="00F737BF"/>
    <w:rsid w:val="00F93C60"/>
    <w:rsid w:val="00FA12EA"/>
    <w:rsid w:val="00FD3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C4BD"/>
  <w15:chartTrackingRefBased/>
  <w15:docId w15:val="{B8D4D588-1C6C-4672-857E-9664C8F55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0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0F16"/>
    <w:rPr>
      <w:rFonts w:ascii="Segoe UI" w:hAnsi="Segoe UI" w:cs="Segoe UI"/>
      <w:sz w:val="18"/>
      <w:szCs w:val="18"/>
    </w:rPr>
  </w:style>
  <w:style w:type="paragraph" w:styleId="ListParagraph">
    <w:name w:val="List Paragraph"/>
    <w:basedOn w:val="Normal"/>
    <w:uiPriority w:val="34"/>
    <w:qFormat/>
    <w:rsid w:val="00AA0F16"/>
    <w:pPr>
      <w:ind w:left="720"/>
      <w:contextualSpacing/>
    </w:pPr>
  </w:style>
  <w:style w:type="character" w:styleId="CommentReference">
    <w:name w:val="annotation reference"/>
    <w:basedOn w:val="DefaultParagraphFont"/>
    <w:uiPriority w:val="99"/>
    <w:semiHidden/>
    <w:unhideWhenUsed/>
    <w:rsid w:val="00A27F74"/>
    <w:rPr>
      <w:sz w:val="16"/>
      <w:szCs w:val="16"/>
    </w:rPr>
  </w:style>
  <w:style w:type="paragraph" w:styleId="CommentText">
    <w:name w:val="annotation text"/>
    <w:basedOn w:val="Normal"/>
    <w:link w:val="CommentTextChar"/>
    <w:uiPriority w:val="99"/>
    <w:semiHidden/>
    <w:unhideWhenUsed/>
    <w:rsid w:val="00A27F74"/>
    <w:pPr>
      <w:spacing w:line="240" w:lineRule="auto"/>
    </w:pPr>
    <w:rPr>
      <w:sz w:val="20"/>
      <w:szCs w:val="20"/>
    </w:rPr>
  </w:style>
  <w:style w:type="character" w:customStyle="1" w:styleId="CommentTextChar">
    <w:name w:val="Comment Text Char"/>
    <w:basedOn w:val="DefaultParagraphFont"/>
    <w:link w:val="CommentText"/>
    <w:uiPriority w:val="99"/>
    <w:semiHidden/>
    <w:rsid w:val="00A27F74"/>
    <w:rPr>
      <w:sz w:val="20"/>
      <w:szCs w:val="20"/>
    </w:rPr>
  </w:style>
  <w:style w:type="paragraph" w:styleId="CommentSubject">
    <w:name w:val="annotation subject"/>
    <w:basedOn w:val="CommentText"/>
    <w:next w:val="CommentText"/>
    <w:link w:val="CommentSubjectChar"/>
    <w:uiPriority w:val="99"/>
    <w:semiHidden/>
    <w:unhideWhenUsed/>
    <w:rsid w:val="00A27F74"/>
    <w:rPr>
      <w:b/>
      <w:bCs/>
    </w:rPr>
  </w:style>
  <w:style w:type="character" w:customStyle="1" w:styleId="CommentSubjectChar">
    <w:name w:val="Comment Subject Char"/>
    <w:basedOn w:val="CommentTextChar"/>
    <w:link w:val="CommentSubject"/>
    <w:uiPriority w:val="99"/>
    <w:semiHidden/>
    <w:rsid w:val="00A27F74"/>
    <w:rPr>
      <w:b/>
      <w:bCs/>
      <w:sz w:val="20"/>
      <w:szCs w:val="20"/>
    </w:rPr>
  </w:style>
  <w:style w:type="paragraph" w:styleId="NormalWeb">
    <w:name w:val="Normal (Web)"/>
    <w:basedOn w:val="Normal"/>
    <w:uiPriority w:val="99"/>
    <w:semiHidden/>
    <w:unhideWhenUsed/>
    <w:rsid w:val="007B285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55917">
      <w:bodyDiv w:val="1"/>
      <w:marLeft w:val="0"/>
      <w:marRight w:val="0"/>
      <w:marTop w:val="0"/>
      <w:marBottom w:val="0"/>
      <w:divBdr>
        <w:top w:val="none" w:sz="0" w:space="0" w:color="auto"/>
        <w:left w:val="none" w:sz="0" w:space="0" w:color="auto"/>
        <w:bottom w:val="none" w:sz="0" w:space="0" w:color="auto"/>
        <w:right w:val="none" w:sz="0" w:space="0" w:color="auto"/>
      </w:divBdr>
    </w:div>
    <w:div w:id="597566547">
      <w:bodyDiv w:val="1"/>
      <w:marLeft w:val="0"/>
      <w:marRight w:val="0"/>
      <w:marTop w:val="0"/>
      <w:marBottom w:val="0"/>
      <w:divBdr>
        <w:top w:val="none" w:sz="0" w:space="0" w:color="auto"/>
        <w:left w:val="none" w:sz="0" w:space="0" w:color="auto"/>
        <w:bottom w:val="none" w:sz="0" w:space="0" w:color="auto"/>
        <w:right w:val="none" w:sz="0" w:space="0" w:color="auto"/>
      </w:divBdr>
    </w:div>
    <w:div w:id="1010765217">
      <w:bodyDiv w:val="1"/>
      <w:marLeft w:val="0"/>
      <w:marRight w:val="0"/>
      <w:marTop w:val="0"/>
      <w:marBottom w:val="0"/>
      <w:divBdr>
        <w:top w:val="none" w:sz="0" w:space="0" w:color="auto"/>
        <w:left w:val="none" w:sz="0" w:space="0" w:color="auto"/>
        <w:bottom w:val="none" w:sz="0" w:space="0" w:color="auto"/>
        <w:right w:val="none" w:sz="0" w:space="0" w:color="auto"/>
      </w:divBdr>
    </w:div>
    <w:div w:id="1125585670">
      <w:bodyDiv w:val="1"/>
      <w:marLeft w:val="0"/>
      <w:marRight w:val="0"/>
      <w:marTop w:val="0"/>
      <w:marBottom w:val="0"/>
      <w:divBdr>
        <w:top w:val="none" w:sz="0" w:space="0" w:color="auto"/>
        <w:left w:val="none" w:sz="0" w:space="0" w:color="auto"/>
        <w:bottom w:val="none" w:sz="0" w:space="0" w:color="auto"/>
        <w:right w:val="none" w:sz="0" w:space="0" w:color="auto"/>
      </w:divBdr>
    </w:div>
    <w:div w:id="1717047542">
      <w:bodyDiv w:val="1"/>
      <w:marLeft w:val="0"/>
      <w:marRight w:val="0"/>
      <w:marTop w:val="0"/>
      <w:marBottom w:val="0"/>
      <w:divBdr>
        <w:top w:val="none" w:sz="0" w:space="0" w:color="auto"/>
        <w:left w:val="none" w:sz="0" w:space="0" w:color="auto"/>
        <w:bottom w:val="none" w:sz="0" w:space="0" w:color="auto"/>
        <w:right w:val="none" w:sz="0" w:space="0" w:color="auto"/>
      </w:divBdr>
    </w:div>
    <w:div w:id="18187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5</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 Vallery</dc:creator>
  <cp:keywords/>
  <dc:description/>
  <cp:lastModifiedBy>Quashaun Vallery</cp:lastModifiedBy>
  <cp:revision>6</cp:revision>
  <dcterms:created xsi:type="dcterms:W3CDTF">2019-12-10T20:07:00Z</dcterms:created>
  <dcterms:modified xsi:type="dcterms:W3CDTF">2019-12-11T00:06:00Z</dcterms:modified>
</cp:coreProperties>
</file>