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49337" w14:textId="77777777" w:rsidR="0016229D" w:rsidRDefault="0016229D" w:rsidP="0016229D">
      <w:pPr>
        <w:jc w:val="center"/>
      </w:pPr>
      <w:bookmarkStart w:id="0" w:name="_Toc495908340"/>
    </w:p>
    <w:p w14:paraId="03406F03" w14:textId="77777777" w:rsidR="0016229D" w:rsidRDefault="0016229D" w:rsidP="0016229D">
      <w:pPr>
        <w:jc w:val="center"/>
      </w:pPr>
    </w:p>
    <w:p w14:paraId="59EF8B3F" w14:textId="77777777" w:rsidR="0016229D" w:rsidRDefault="0016229D" w:rsidP="0016229D">
      <w:pPr>
        <w:jc w:val="center"/>
      </w:pPr>
    </w:p>
    <w:p w14:paraId="55BDE2D4" w14:textId="77777777" w:rsidR="0016229D" w:rsidRDefault="0016229D" w:rsidP="0016229D">
      <w:pPr>
        <w:jc w:val="center"/>
      </w:pPr>
    </w:p>
    <w:p w14:paraId="70B3C1EB" w14:textId="77777777" w:rsidR="0016229D" w:rsidRDefault="0016229D" w:rsidP="0016229D">
      <w:pPr>
        <w:jc w:val="center"/>
      </w:pPr>
    </w:p>
    <w:p w14:paraId="3B234B95" w14:textId="77777777" w:rsidR="00273634" w:rsidRDefault="00273634" w:rsidP="0016229D">
      <w:pPr>
        <w:jc w:val="center"/>
      </w:pPr>
    </w:p>
    <w:p w14:paraId="54176CAB" w14:textId="77777777" w:rsidR="00273634" w:rsidRDefault="00273634" w:rsidP="0016229D">
      <w:pPr>
        <w:jc w:val="center"/>
      </w:pPr>
    </w:p>
    <w:p w14:paraId="21B0B849" w14:textId="77777777" w:rsidR="00273634" w:rsidRDefault="00273634" w:rsidP="0016229D">
      <w:pPr>
        <w:jc w:val="center"/>
      </w:pPr>
    </w:p>
    <w:p w14:paraId="139A8C08" w14:textId="77777777" w:rsidR="00273634" w:rsidRDefault="00273634" w:rsidP="0016229D">
      <w:pPr>
        <w:jc w:val="center"/>
      </w:pPr>
    </w:p>
    <w:p w14:paraId="2AFADBA2" w14:textId="77777777" w:rsidR="00273634" w:rsidRDefault="00273634" w:rsidP="0016229D">
      <w:pPr>
        <w:jc w:val="center"/>
      </w:pPr>
    </w:p>
    <w:p w14:paraId="74C8AFB0" w14:textId="77777777" w:rsidR="00273634" w:rsidRDefault="00273634" w:rsidP="0016229D">
      <w:pPr>
        <w:jc w:val="center"/>
      </w:pPr>
    </w:p>
    <w:tbl>
      <w:tblPr>
        <w:tblW w:w="3485" w:type="pct"/>
        <w:jc w:val="center"/>
        <w:tblLook w:val="04A0" w:firstRow="1" w:lastRow="0" w:firstColumn="1" w:lastColumn="0" w:noHBand="0" w:noVBand="1"/>
      </w:tblPr>
      <w:tblGrid>
        <w:gridCol w:w="6524"/>
      </w:tblGrid>
      <w:tr w:rsidR="004B3492" w:rsidRPr="00E9435E" w14:paraId="3B2B2BFF" w14:textId="77777777" w:rsidTr="007C505C">
        <w:trPr>
          <w:trHeight w:val="3969"/>
          <w:jc w:val="center"/>
        </w:trPr>
        <w:tc>
          <w:tcPr>
            <w:tcW w:w="5000" w:type="pct"/>
            <w:vAlign w:val="center"/>
          </w:tcPr>
          <w:p w14:paraId="5208EAF9" w14:textId="6CAD5083" w:rsidR="004B3492" w:rsidRPr="00E9435E" w:rsidRDefault="009D6009" w:rsidP="00040B91">
            <w:pPr>
              <w:pStyle w:val="NoSpacing"/>
              <w:jc w:val="center"/>
              <w:rPr>
                <w:rFonts w:asciiTheme="majorHAnsi" w:eastAsiaTheme="majorEastAsia" w:hAnsiTheme="majorHAnsi" w:cstheme="majorBidi"/>
                <w:sz w:val="80"/>
                <w:szCs w:val="80"/>
              </w:rPr>
            </w:pPr>
            <w:sdt>
              <w:sdtPr>
                <w:rPr>
                  <w:rFonts w:asciiTheme="majorHAnsi" w:eastAsiaTheme="majorEastAsia" w:hAnsiTheme="majorHAnsi" w:cstheme="majorBidi"/>
                  <w:sz w:val="72"/>
                  <w:szCs w:val="80"/>
                  <w:lang w:eastAsia="ja-JP"/>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r w:rsidR="001B7ECA" w:rsidRPr="00E9435E">
                  <w:rPr>
                    <w:rFonts w:asciiTheme="majorHAnsi" w:eastAsiaTheme="majorEastAsia" w:hAnsiTheme="majorHAnsi" w:cstheme="majorBidi"/>
                    <w:sz w:val="72"/>
                    <w:szCs w:val="80"/>
                    <w:lang w:eastAsia="ja-JP"/>
                  </w:rPr>
                  <w:t>Fuel Substitution Technical Guidance for Energy Efficiency</w:t>
                </w:r>
              </w:sdtContent>
            </w:sdt>
          </w:p>
        </w:tc>
      </w:tr>
      <w:tr w:rsidR="004B3492" w:rsidRPr="00E9435E" w14:paraId="7A08C8FB" w14:textId="77777777" w:rsidTr="007C505C">
        <w:trPr>
          <w:trHeight w:val="812"/>
          <w:jc w:val="center"/>
        </w:trPr>
        <w:tc>
          <w:tcPr>
            <w:tcW w:w="5000" w:type="pct"/>
            <w:vAlign w:val="center"/>
          </w:tcPr>
          <w:p w14:paraId="0243B1CD" w14:textId="0A5FF17E" w:rsidR="004B3492" w:rsidRPr="00E9435E" w:rsidRDefault="004B3492" w:rsidP="00A14081">
            <w:pPr>
              <w:pStyle w:val="NoSpacing"/>
              <w:jc w:val="center"/>
              <w:rPr>
                <w:rFonts w:asciiTheme="majorHAnsi" w:eastAsiaTheme="majorEastAsia" w:hAnsiTheme="majorHAnsi" w:cstheme="majorBidi"/>
                <w:sz w:val="44"/>
                <w:szCs w:val="44"/>
              </w:rPr>
            </w:pPr>
          </w:p>
        </w:tc>
      </w:tr>
      <w:tr w:rsidR="004B3492" w:rsidRPr="00E9435E" w14:paraId="0262C65A" w14:textId="77777777" w:rsidTr="00A14081">
        <w:trPr>
          <w:trHeight w:val="406"/>
          <w:jc w:val="center"/>
        </w:trPr>
        <w:tc>
          <w:tcPr>
            <w:tcW w:w="5000" w:type="pct"/>
            <w:vAlign w:val="center"/>
          </w:tcPr>
          <w:p w14:paraId="3E133847" w14:textId="77777777" w:rsidR="004B3492" w:rsidRPr="00E9435E" w:rsidRDefault="004B3492" w:rsidP="00A14081">
            <w:pPr>
              <w:pStyle w:val="NoSpacing"/>
              <w:jc w:val="center"/>
            </w:pPr>
          </w:p>
        </w:tc>
      </w:tr>
      <w:tr w:rsidR="004B3492" w:rsidRPr="00E9435E" w14:paraId="5AE88160" w14:textId="77777777" w:rsidTr="00A14081">
        <w:trPr>
          <w:trHeight w:val="406"/>
          <w:jc w:val="center"/>
        </w:trPr>
        <w:tc>
          <w:tcPr>
            <w:tcW w:w="5000" w:type="pct"/>
            <w:vAlign w:val="center"/>
          </w:tcPr>
          <w:p w14:paraId="226013E8" w14:textId="1DC032E3" w:rsidR="004B3492" w:rsidRPr="00E9435E" w:rsidRDefault="004B3492" w:rsidP="00363FD0">
            <w:pPr>
              <w:pStyle w:val="NoSpacing"/>
              <w:jc w:val="center"/>
              <w:rPr>
                <w:b/>
                <w:bCs/>
              </w:rPr>
            </w:pPr>
          </w:p>
        </w:tc>
      </w:tr>
      <w:tr w:rsidR="004B3492" w:rsidRPr="00E9435E" w14:paraId="6EEDC599" w14:textId="77777777" w:rsidTr="00A14081">
        <w:trPr>
          <w:trHeight w:val="406"/>
          <w:jc w:val="center"/>
        </w:trPr>
        <w:tc>
          <w:tcPr>
            <w:tcW w:w="5000" w:type="pct"/>
            <w:vAlign w:val="center"/>
          </w:tcPr>
          <w:p w14:paraId="24B82568" w14:textId="77777777" w:rsidR="004B3492" w:rsidRPr="00E9435E" w:rsidRDefault="004B3492" w:rsidP="00A14081">
            <w:pPr>
              <w:pStyle w:val="NoSpacing"/>
              <w:jc w:val="center"/>
              <w:rPr>
                <w:b/>
                <w:bCs/>
              </w:rPr>
            </w:pPr>
          </w:p>
          <w:p w14:paraId="477FBEFA" w14:textId="77777777" w:rsidR="004B3492" w:rsidRPr="00E9435E" w:rsidRDefault="004B3492" w:rsidP="00A14081">
            <w:pPr>
              <w:pStyle w:val="NoSpacing"/>
              <w:jc w:val="center"/>
              <w:rPr>
                <w:b/>
                <w:bCs/>
              </w:rPr>
            </w:pPr>
          </w:p>
          <w:p w14:paraId="0ACE5F81" w14:textId="77777777" w:rsidR="00A14081" w:rsidRPr="00E9435E" w:rsidRDefault="00A14081" w:rsidP="00A14081">
            <w:pPr>
              <w:pStyle w:val="NoSpacing"/>
              <w:jc w:val="center"/>
              <w:rPr>
                <w:b/>
                <w:bCs/>
              </w:rPr>
            </w:pPr>
          </w:p>
          <w:p w14:paraId="2A3293CF" w14:textId="77777777" w:rsidR="00A14081" w:rsidRPr="00E9435E" w:rsidRDefault="00A14081" w:rsidP="00A14081">
            <w:pPr>
              <w:pStyle w:val="NoSpacing"/>
              <w:jc w:val="center"/>
              <w:rPr>
                <w:b/>
                <w:bCs/>
              </w:rPr>
            </w:pPr>
          </w:p>
          <w:p w14:paraId="715D2BA9" w14:textId="77777777" w:rsidR="00A14081" w:rsidRPr="00E9435E" w:rsidRDefault="00A14081" w:rsidP="00494D51">
            <w:pPr>
              <w:pStyle w:val="NoSpacing"/>
              <w:rPr>
                <w:b/>
                <w:bCs/>
              </w:rPr>
            </w:pPr>
          </w:p>
          <w:p w14:paraId="1E60ECD4" w14:textId="77777777" w:rsidR="00A14081" w:rsidRPr="00E9435E" w:rsidRDefault="00A14081" w:rsidP="00494D51">
            <w:pPr>
              <w:pStyle w:val="NoSpacing"/>
              <w:rPr>
                <w:b/>
                <w:bCs/>
              </w:rPr>
            </w:pPr>
          </w:p>
          <w:p w14:paraId="076A535E" w14:textId="77777777" w:rsidR="00A14081" w:rsidRPr="00E9435E" w:rsidRDefault="00A14081" w:rsidP="00494D51">
            <w:pPr>
              <w:pStyle w:val="NoSpacing"/>
              <w:rPr>
                <w:b/>
                <w:bCs/>
              </w:rPr>
            </w:pPr>
          </w:p>
          <w:p w14:paraId="71D83301" w14:textId="2C616729" w:rsidR="0091630C" w:rsidRPr="00E9435E" w:rsidRDefault="0091630C" w:rsidP="00612E11">
            <w:pPr>
              <w:pStyle w:val="NoSpacing"/>
              <w:jc w:val="center"/>
              <w:rPr>
                <w:b/>
                <w:bCs/>
                <w:sz w:val="32"/>
              </w:rPr>
            </w:pPr>
            <w:r w:rsidRPr="00E9435E">
              <w:rPr>
                <w:b/>
                <w:bCs/>
                <w:sz w:val="32"/>
              </w:rPr>
              <w:t>Version 1.</w:t>
            </w:r>
            <w:r w:rsidR="00984C67">
              <w:rPr>
                <w:b/>
                <w:bCs/>
                <w:sz w:val="32"/>
              </w:rPr>
              <w:t>1</w:t>
            </w:r>
            <w:r w:rsidRPr="00E9435E">
              <w:rPr>
                <w:b/>
                <w:bCs/>
                <w:sz w:val="32"/>
              </w:rPr>
              <w:t xml:space="preserve"> </w:t>
            </w:r>
          </w:p>
          <w:p w14:paraId="150CE22A" w14:textId="1291DCF8" w:rsidR="000D1A7F" w:rsidRPr="00E9435E" w:rsidRDefault="009D6009" w:rsidP="000D1A7F">
            <w:pPr>
              <w:jc w:val="center"/>
              <w:rPr>
                <w:color w:val="FF0000"/>
                <w:sz w:val="32"/>
              </w:rPr>
            </w:pPr>
            <w:sdt>
              <w:sdtPr>
                <w:rPr>
                  <w:sz w:val="32"/>
                </w:rPr>
                <w:alias w:val="Date"/>
                <w:id w:val="-1351864085"/>
                <w:dataBinding w:prefixMappings="xmlns:ns0='http://schemas.microsoft.com/office/2006/coverPageProps'" w:xpath="/ns0:CoverPageProperties[1]/ns0:PublishDate[1]" w:storeItemID="{55AF091B-3C7A-41E3-B477-F2FDAA23CFDA}"/>
                <w:date w:fullDate="2019-10-31T00:00:00Z">
                  <w:dateFormat w:val="M/d/yyyy"/>
                  <w:lid w:val="en-US"/>
                  <w:storeMappedDataAs w:val="dateTime"/>
                  <w:calendar w:val="gregorian"/>
                </w:date>
              </w:sdtPr>
              <w:sdtEndPr/>
              <w:sdtContent>
                <w:r w:rsidR="00984C67">
                  <w:rPr>
                    <w:sz w:val="32"/>
                  </w:rPr>
                  <w:t>10/</w:t>
                </w:r>
                <w:r w:rsidR="00414862">
                  <w:rPr>
                    <w:sz w:val="32"/>
                  </w:rPr>
                  <w:t>31</w:t>
                </w:r>
                <w:r w:rsidR="00984C67">
                  <w:rPr>
                    <w:sz w:val="32"/>
                  </w:rPr>
                  <w:t>/2019</w:t>
                </w:r>
              </w:sdtContent>
            </w:sdt>
          </w:p>
          <w:p w14:paraId="2A4D34C2" w14:textId="77777777" w:rsidR="00A14081" w:rsidRPr="00E9435E" w:rsidRDefault="00A14081" w:rsidP="00A14081">
            <w:pPr>
              <w:pStyle w:val="NoSpacing"/>
              <w:jc w:val="center"/>
              <w:rPr>
                <w:b/>
                <w:bCs/>
              </w:rPr>
            </w:pPr>
          </w:p>
        </w:tc>
      </w:tr>
      <w:bookmarkEnd w:id="0"/>
    </w:tbl>
    <w:p w14:paraId="2B170FF6" w14:textId="24D9164E" w:rsidR="00554568" w:rsidRPr="00E9435E" w:rsidRDefault="00554568" w:rsidP="0016229D">
      <w:pPr>
        <w:tabs>
          <w:tab w:val="left" w:pos="4046"/>
        </w:tabs>
        <w:rPr>
          <w:sz w:val="28"/>
        </w:rPr>
        <w:sectPr w:rsidR="00554568" w:rsidRPr="00E9435E" w:rsidSect="00A91687">
          <w:headerReference w:type="default" r:id="rId12"/>
          <w:footerReference w:type="default" r:id="rId13"/>
          <w:headerReference w:type="first" r:id="rId14"/>
          <w:footerReference w:type="first" r:id="rId15"/>
          <w:pgSz w:w="12240" w:h="15840"/>
          <w:pgMar w:top="1440" w:right="1440" w:bottom="1440" w:left="1440" w:header="720" w:footer="361" w:gutter="0"/>
          <w:cols w:space="720"/>
          <w:titlePg/>
          <w:docGrid w:linePitch="360"/>
        </w:sectPr>
      </w:pPr>
    </w:p>
    <w:p w14:paraId="2ECC2231" w14:textId="77777777" w:rsidR="00A91687" w:rsidRPr="00E9435E" w:rsidRDefault="00A91687">
      <w:pPr>
        <w:spacing w:after="200" w:line="276" w:lineRule="auto"/>
        <w:rPr>
          <w:b/>
        </w:rPr>
      </w:pPr>
    </w:p>
    <w:sdt>
      <w:sdtPr>
        <w:rPr>
          <w:rFonts w:eastAsiaTheme="minorHAnsi" w:cstheme="minorBidi"/>
          <w:color w:val="auto"/>
          <w:sz w:val="22"/>
          <w:szCs w:val="22"/>
          <w:lang w:eastAsia="en-US"/>
        </w:rPr>
        <w:id w:val="-1063093417"/>
        <w:docPartObj>
          <w:docPartGallery w:val="Table of Contents"/>
          <w:docPartUnique/>
        </w:docPartObj>
      </w:sdtPr>
      <w:sdtEndPr>
        <w:rPr>
          <w:b/>
          <w:bCs/>
          <w:noProof/>
        </w:rPr>
      </w:sdtEndPr>
      <w:sdtContent>
        <w:p w14:paraId="15934A36" w14:textId="396B315F" w:rsidR="0091403B" w:rsidRDefault="0091403B">
          <w:pPr>
            <w:pStyle w:val="TOCHeading"/>
          </w:pPr>
          <w:r>
            <w:t>Contents</w:t>
          </w:r>
        </w:p>
        <w:p w14:paraId="65565943" w14:textId="097D2004" w:rsidR="00A70477" w:rsidRDefault="0091403B">
          <w:pPr>
            <w:pStyle w:val="TOC1"/>
            <w:rPr>
              <w:rFonts w:eastAsiaTheme="minorEastAsia" w:cstheme="minorBidi"/>
              <w:b w:val="0"/>
              <w:bCs w:val="0"/>
              <w:color w:val="auto"/>
              <w:szCs w:val="22"/>
            </w:rPr>
          </w:pPr>
          <w:r>
            <w:fldChar w:fldCharType="begin"/>
          </w:r>
          <w:r>
            <w:instrText xml:space="preserve"> TOC \o "1-3" \h \z \u </w:instrText>
          </w:r>
          <w:r>
            <w:fldChar w:fldCharType="separate"/>
          </w:r>
          <w:hyperlink w:anchor="_Toc23249982" w:history="1">
            <w:r w:rsidR="00A70477" w:rsidRPr="00951E93">
              <w:rPr>
                <w:rStyle w:val="Hyperlink"/>
              </w:rPr>
              <w:t>Revision History</w:t>
            </w:r>
            <w:r w:rsidR="00A70477">
              <w:rPr>
                <w:webHidden/>
              </w:rPr>
              <w:tab/>
            </w:r>
            <w:r w:rsidR="00A70477">
              <w:rPr>
                <w:webHidden/>
              </w:rPr>
              <w:fldChar w:fldCharType="begin"/>
            </w:r>
            <w:r w:rsidR="00A70477">
              <w:rPr>
                <w:webHidden/>
              </w:rPr>
              <w:instrText xml:space="preserve"> PAGEREF _Toc23249982 \h </w:instrText>
            </w:r>
            <w:r w:rsidR="00A70477">
              <w:rPr>
                <w:webHidden/>
              </w:rPr>
            </w:r>
            <w:r w:rsidR="00A70477">
              <w:rPr>
                <w:webHidden/>
              </w:rPr>
              <w:fldChar w:fldCharType="separate"/>
            </w:r>
            <w:r w:rsidR="00A70477">
              <w:rPr>
                <w:webHidden/>
              </w:rPr>
              <w:t>2</w:t>
            </w:r>
            <w:r w:rsidR="00A70477">
              <w:rPr>
                <w:webHidden/>
              </w:rPr>
              <w:fldChar w:fldCharType="end"/>
            </w:r>
          </w:hyperlink>
        </w:p>
        <w:p w14:paraId="3CAB574D" w14:textId="722B6A50" w:rsidR="00A70477" w:rsidRDefault="009D6009">
          <w:pPr>
            <w:pStyle w:val="TOC1"/>
            <w:rPr>
              <w:rFonts w:eastAsiaTheme="minorEastAsia" w:cstheme="minorBidi"/>
              <w:b w:val="0"/>
              <w:bCs w:val="0"/>
              <w:color w:val="auto"/>
              <w:szCs w:val="22"/>
            </w:rPr>
          </w:pPr>
          <w:hyperlink w:anchor="_Toc23249983" w:history="1">
            <w:r w:rsidR="00A70477" w:rsidRPr="00951E93">
              <w:rPr>
                <w:rStyle w:val="Hyperlink"/>
              </w:rPr>
              <w:t>Chapter 1</w:t>
            </w:r>
            <w:r w:rsidR="00A70477">
              <w:rPr>
                <w:rFonts w:eastAsiaTheme="minorEastAsia" w:cstheme="minorBidi"/>
                <w:b w:val="0"/>
                <w:bCs w:val="0"/>
                <w:color w:val="auto"/>
                <w:szCs w:val="22"/>
              </w:rPr>
              <w:tab/>
            </w:r>
            <w:r w:rsidR="00A70477" w:rsidRPr="00951E93">
              <w:rPr>
                <w:rStyle w:val="Hyperlink"/>
              </w:rPr>
              <w:t>Introduction</w:t>
            </w:r>
            <w:r w:rsidR="00A70477">
              <w:rPr>
                <w:webHidden/>
              </w:rPr>
              <w:tab/>
            </w:r>
            <w:r w:rsidR="00A70477">
              <w:rPr>
                <w:webHidden/>
              </w:rPr>
              <w:fldChar w:fldCharType="begin"/>
            </w:r>
            <w:r w:rsidR="00A70477">
              <w:rPr>
                <w:webHidden/>
              </w:rPr>
              <w:instrText xml:space="preserve"> PAGEREF _Toc23249983 \h </w:instrText>
            </w:r>
            <w:r w:rsidR="00A70477">
              <w:rPr>
                <w:webHidden/>
              </w:rPr>
            </w:r>
            <w:r w:rsidR="00A70477">
              <w:rPr>
                <w:webHidden/>
              </w:rPr>
              <w:fldChar w:fldCharType="separate"/>
            </w:r>
            <w:r w:rsidR="00A70477">
              <w:rPr>
                <w:webHidden/>
              </w:rPr>
              <w:t>1</w:t>
            </w:r>
            <w:r w:rsidR="00A70477">
              <w:rPr>
                <w:webHidden/>
              </w:rPr>
              <w:fldChar w:fldCharType="end"/>
            </w:r>
          </w:hyperlink>
        </w:p>
        <w:p w14:paraId="1440F766" w14:textId="4706FFF0" w:rsidR="00A70477" w:rsidRDefault="009D6009">
          <w:pPr>
            <w:pStyle w:val="TOC2"/>
            <w:rPr>
              <w:rFonts w:asciiTheme="minorHAnsi" w:eastAsiaTheme="minorEastAsia" w:hAnsiTheme="minorHAnsi"/>
              <w:b w:val="0"/>
              <w:bCs w:val="0"/>
              <w:noProof/>
              <w:color w:val="auto"/>
            </w:rPr>
          </w:pPr>
          <w:hyperlink w:anchor="_Toc23249984" w:history="1">
            <w:r w:rsidR="00A70477" w:rsidRPr="00951E93">
              <w:rPr>
                <w:rStyle w:val="Hyperlink"/>
                <w:noProof/>
              </w:rPr>
              <w:t>Purpose</w:t>
            </w:r>
            <w:r w:rsidR="00A70477">
              <w:rPr>
                <w:noProof/>
                <w:webHidden/>
              </w:rPr>
              <w:tab/>
            </w:r>
            <w:r w:rsidR="00A70477">
              <w:rPr>
                <w:noProof/>
                <w:webHidden/>
              </w:rPr>
              <w:fldChar w:fldCharType="begin"/>
            </w:r>
            <w:r w:rsidR="00A70477">
              <w:rPr>
                <w:noProof/>
                <w:webHidden/>
              </w:rPr>
              <w:instrText xml:space="preserve"> PAGEREF _Toc23249984 \h </w:instrText>
            </w:r>
            <w:r w:rsidR="00A70477">
              <w:rPr>
                <w:noProof/>
                <w:webHidden/>
              </w:rPr>
            </w:r>
            <w:r w:rsidR="00A70477">
              <w:rPr>
                <w:noProof/>
                <w:webHidden/>
              </w:rPr>
              <w:fldChar w:fldCharType="separate"/>
            </w:r>
            <w:r w:rsidR="00A70477">
              <w:rPr>
                <w:noProof/>
                <w:webHidden/>
              </w:rPr>
              <w:t>1</w:t>
            </w:r>
            <w:r w:rsidR="00A70477">
              <w:rPr>
                <w:noProof/>
                <w:webHidden/>
              </w:rPr>
              <w:fldChar w:fldCharType="end"/>
            </w:r>
          </w:hyperlink>
        </w:p>
        <w:p w14:paraId="1B5FB00A" w14:textId="430623F6" w:rsidR="00A70477" w:rsidRDefault="009D6009">
          <w:pPr>
            <w:pStyle w:val="TOC2"/>
            <w:rPr>
              <w:rFonts w:asciiTheme="minorHAnsi" w:eastAsiaTheme="minorEastAsia" w:hAnsiTheme="minorHAnsi"/>
              <w:b w:val="0"/>
              <w:bCs w:val="0"/>
              <w:noProof/>
              <w:color w:val="auto"/>
            </w:rPr>
          </w:pPr>
          <w:hyperlink w:anchor="_Toc23249985" w:history="1">
            <w:r w:rsidR="00A70477" w:rsidRPr="00951E93">
              <w:rPr>
                <w:rStyle w:val="Hyperlink"/>
                <w:noProof/>
              </w:rPr>
              <w:t>CPUC Policy Background</w:t>
            </w:r>
            <w:r w:rsidR="00A70477">
              <w:rPr>
                <w:noProof/>
                <w:webHidden/>
              </w:rPr>
              <w:tab/>
            </w:r>
            <w:r w:rsidR="00A70477">
              <w:rPr>
                <w:noProof/>
                <w:webHidden/>
              </w:rPr>
              <w:fldChar w:fldCharType="begin"/>
            </w:r>
            <w:r w:rsidR="00A70477">
              <w:rPr>
                <w:noProof/>
                <w:webHidden/>
              </w:rPr>
              <w:instrText xml:space="preserve"> PAGEREF _Toc23249985 \h </w:instrText>
            </w:r>
            <w:r w:rsidR="00A70477">
              <w:rPr>
                <w:noProof/>
                <w:webHidden/>
              </w:rPr>
            </w:r>
            <w:r w:rsidR="00A70477">
              <w:rPr>
                <w:noProof/>
                <w:webHidden/>
              </w:rPr>
              <w:fldChar w:fldCharType="separate"/>
            </w:r>
            <w:r w:rsidR="00A70477">
              <w:rPr>
                <w:noProof/>
                <w:webHidden/>
              </w:rPr>
              <w:t>1</w:t>
            </w:r>
            <w:r w:rsidR="00A70477">
              <w:rPr>
                <w:noProof/>
                <w:webHidden/>
              </w:rPr>
              <w:fldChar w:fldCharType="end"/>
            </w:r>
          </w:hyperlink>
        </w:p>
        <w:p w14:paraId="40F13B03" w14:textId="1C9128CF" w:rsidR="00A70477" w:rsidRDefault="009D6009">
          <w:pPr>
            <w:pStyle w:val="TOC2"/>
            <w:rPr>
              <w:rFonts w:asciiTheme="minorHAnsi" w:eastAsiaTheme="minorEastAsia" w:hAnsiTheme="minorHAnsi"/>
              <w:b w:val="0"/>
              <w:bCs w:val="0"/>
              <w:noProof/>
              <w:color w:val="auto"/>
            </w:rPr>
          </w:pPr>
          <w:hyperlink w:anchor="_Toc23249986" w:history="1">
            <w:r w:rsidR="00A70477" w:rsidRPr="00951E93">
              <w:rPr>
                <w:rStyle w:val="Hyperlink"/>
                <w:noProof/>
              </w:rPr>
              <w:t>Fuel Substitution Measure Definition</w:t>
            </w:r>
            <w:r w:rsidR="00A70477">
              <w:rPr>
                <w:noProof/>
                <w:webHidden/>
              </w:rPr>
              <w:tab/>
            </w:r>
            <w:r w:rsidR="00A70477">
              <w:rPr>
                <w:noProof/>
                <w:webHidden/>
              </w:rPr>
              <w:fldChar w:fldCharType="begin"/>
            </w:r>
            <w:r w:rsidR="00A70477">
              <w:rPr>
                <w:noProof/>
                <w:webHidden/>
              </w:rPr>
              <w:instrText xml:space="preserve"> PAGEREF _Toc23249986 \h </w:instrText>
            </w:r>
            <w:r w:rsidR="00A70477">
              <w:rPr>
                <w:noProof/>
                <w:webHidden/>
              </w:rPr>
            </w:r>
            <w:r w:rsidR="00A70477">
              <w:rPr>
                <w:noProof/>
                <w:webHidden/>
              </w:rPr>
              <w:fldChar w:fldCharType="separate"/>
            </w:r>
            <w:r w:rsidR="00A70477">
              <w:rPr>
                <w:noProof/>
                <w:webHidden/>
              </w:rPr>
              <w:t>1</w:t>
            </w:r>
            <w:r w:rsidR="00A70477">
              <w:rPr>
                <w:noProof/>
                <w:webHidden/>
              </w:rPr>
              <w:fldChar w:fldCharType="end"/>
            </w:r>
          </w:hyperlink>
        </w:p>
        <w:p w14:paraId="0171B198" w14:textId="736D2D55" w:rsidR="00A70477" w:rsidRDefault="009D6009">
          <w:pPr>
            <w:pStyle w:val="TOC2"/>
            <w:rPr>
              <w:rFonts w:asciiTheme="minorHAnsi" w:eastAsiaTheme="minorEastAsia" w:hAnsiTheme="minorHAnsi"/>
              <w:b w:val="0"/>
              <w:bCs w:val="0"/>
              <w:noProof/>
              <w:color w:val="auto"/>
            </w:rPr>
          </w:pPr>
          <w:hyperlink w:anchor="_Toc23249987" w:history="1">
            <w:r w:rsidR="00A70477" w:rsidRPr="00951E93">
              <w:rPr>
                <w:rStyle w:val="Hyperlink"/>
                <w:noProof/>
              </w:rPr>
              <w:t>Fuel Substitution Criteria</w:t>
            </w:r>
            <w:r w:rsidR="00A70477">
              <w:rPr>
                <w:noProof/>
                <w:webHidden/>
              </w:rPr>
              <w:tab/>
            </w:r>
            <w:r w:rsidR="00A70477">
              <w:rPr>
                <w:noProof/>
                <w:webHidden/>
              </w:rPr>
              <w:fldChar w:fldCharType="begin"/>
            </w:r>
            <w:r w:rsidR="00A70477">
              <w:rPr>
                <w:noProof/>
                <w:webHidden/>
              </w:rPr>
              <w:instrText xml:space="preserve"> PAGEREF _Toc23249987 \h </w:instrText>
            </w:r>
            <w:r w:rsidR="00A70477">
              <w:rPr>
                <w:noProof/>
                <w:webHidden/>
              </w:rPr>
            </w:r>
            <w:r w:rsidR="00A70477">
              <w:rPr>
                <w:noProof/>
                <w:webHidden/>
              </w:rPr>
              <w:fldChar w:fldCharType="separate"/>
            </w:r>
            <w:r w:rsidR="00A70477">
              <w:rPr>
                <w:noProof/>
                <w:webHidden/>
              </w:rPr>
              <w:t>2</w:t>
            </w:r>
            <w:r w:rsidR="00A70477">
              <w:rPr>
                <w:noProof/>
                <w:webHidden/>
              </w:rPr>
              <w:fldChar w:fldCharType="end"/>
            </w:r>
          </w:hyperlink>
        </w:p>
        <w:p w14:paraId="01B6BCFC" w14:textId="02BA0CA9" w:rsidR="00A70477" w:rsidRDefault="009D6009">
          <w:pPr>
            <w:pStyle w:val="TOC2"/>
            <w:rPr>
              <w:rFonts w:asciiTheme="minorHAnsi" w:eastAsiaTheme="minorEastAsia" w:hAnsiTheme="minorHAnsi"/>
              <w:b w:val="0"/>
              <w:bCs w:val="0"/>
              <w:noProof/>
              <w:color w:val="auto"/>
            </w:rPr>
          </w:pPr>
          <w:hyperlink w:anchor="_Toc23249988" w:history="1">
            <w:r w:rsidR="00A70477" w:rsidRPr="00951E93">
              <w:rPr>
                <w:rStyle w:val="Hyperlink"/>
                <w:noProof/>
              </w:rPr>
              <w:t>Audience</w:t>
            </w:r>
            <w:r w:rsidR="00A70477">
              <w:rPr>
                <w:noProof/>
                <w:webHidden/>
              </w:rPr>
              <w:tab/>
            </w:r>
            <w:r w:rsidR="00A70477">
              <w:rPr>
                <w:noProof/>
                <w:webHidden/>
              </w:rPr>
              <w:fldChar w:fldCharType="begin"/>
            </w:r>
            <w:r w:rsidR="00A70477">
              <w:rPr>
                <w:noProof/>
                <w:webHidden/>
              </w:rPr>
              <w:instrText xml:space="preserve"> PAGEREF _Toc23249988 \h </w:instrText>
            </w:r>
            <w:r w:rsidR="00A70477">
              <w:rPr>
                <w:noProof/>
                <w:webHidden/>
              </w:rPr>
            </w:r>
            <w:r w:rsidR="00A70477">
              <w:rPr>
                <w:noProof/>
                <w:webHidden/>
              </w:rPr>
              <w:fldChar w:fldCharType="separate"/>
            </w:r>
            <w:r w:rsidR="00A70477">
              <w:rPr>
                <w:noProof/>
                <w:webHidden/>
              </w:rPr>
              <w:t>2</w:t>
            </w:r>
            <w:r w:rsidR="00A70477">
              <w:rPr>
                <w:noProof/>
                <w:webHidden/>
              </w:rPr>
              <w:fldChar w:fldCharType="end"/>
            </w:r>
          </w:hyperlink>
        </w:p>
        <w:p w14:paraId="5A7CBBD4" w14:textId="003793CF" w:rsidR="00A70477" w:rsidRDefault="009D6009">
          <w:pPr>
            <w:pStyle w:val="TOC2"/>
            <w:rPr>
              <w:rFonts w:asciiTheme="minorHAnsi" w:eastAsiaTheme="minorEastAsia" w:hAnsiTheme="minorHAnsi"/>
              <w:b w:val="0"/>
              <w:bCs w:val="0"/>
              <w:noProof/>
              <w:color w:val="auto"/>
            </w:rPr>
          </w:pPr>
          <w:hyperlink w:anchor="_Toc23249989" w:history="1">
            <w:r w:rsidR="00A70477" w:rsidRPr="00951E93">
              <w:rPr>
                <w:rStyle w:val="Hyperlink"/>
                <w:noProof/>
              </w:rPr>
              <w:t>Key Terminology</w:t>
            </w:r>
            <w:r w:rsidR="00A70477">
              <w:rPr>
                <w:noProof/>
                <w:webHidden/>
              </w:rPr>
              <w:tab/>
            </w:r>
            <w:r w:rsidR="00A70477">
              <w:rPr>
                <w:noProof/>
                <w:webHidden/>
              </w:rPr>
              <w:fldChar w:fldCharType="begin"/>
            </w:r>
            <w:r w:rsidR="00A70477">
              <w:rPr>
                <w:noProof/>
                <w:webHidden/>
              </w:rPr>
              <w:instrText xml:space="preserve"> PAGEREF _Toc23249989 \h </w:instrText>
            </w:r>
            <w:r w:rsidR="00A70477">
              <w:rPr>
                <w:noProof/>
                <w:webHidden/>
              </w:rPr>
            </w:r>
            <w:r w:rsidR="00A70477">
              <w:rPr>
                <w:noProof/>
                <w:webHidden/>
              </w:rPr>
              <w:fldChar w:fldCharType="separate"/>
            </w:r>
            <w:r w:rsidR="00A70477">
              <w:rPr>
                <w:noProof/>
                <w:webHidden/>
              </w:rPr>
              <w:t>2</w:t>
            </w:r>
            <w:r w:rsidR="00A70477">
              <w:rPr>
                <w:noProof/>
                <w:webHidden/>
              </w:rPr>
              <w:fldChar w:fldCharType="end"/>
            </w:r>
          </w:hyperlink>
        </w:p>
        <w:p w14:paraId="7E3EA6C3" w14:textId="24DAEC64" w:rsidR="00A70477" w:rsidRDefault="009D6009">
          <w:pPr>
            <w:pStyle w:val="TOC1"/>
            <w:rPr>
              <w:rFonts w:eastAsiaTheme="minorEastAsia" w:cstheme="minorBidi"/>
              <w:b w:val="0"/>
              <w:bCs w:val="0"/>
              <w:color w:val="auto"/>
              <w:szCs w:val="22"/>
            </w:rPr>
          </w:pPr>
          <w:hyperlink w:anchor="_Toc23249990" w:history="1">
            <w:r w:rsidR="00A70477" w:rsidRPr="00951E93">
              <w:rPr>
                <w:rStyle w:val="Hyperlink"/>
              </w:rPr>
              <w:t>Chapter 2</w:t>
            </w:r>
            <w:r w:rsidR="00A70477">
              <w:rPr>
                <w:rFonts w:eastAsiaTheme="minorEastAsia" w:cstheme="minorBidi"/>
                <w:b w:val="0"/>
                <w:bCs w:val="0"/>
                <w:color w:val="auto"/>
                <w:szCs w:val="22"/>
              </w:rPr>
              <w:tab/>
            </w:r>
            <w:r w:rsidR="00A70477" w:rsidRPr="00951E93">
              <w:rPr>
                <w:rStyle w:val="Hyperlink"/>
              </w:rPr>
              <w:t>Fuel Substitution Measure Procedures</w:t>
            </w:r>
            <w:r w:rsidR="00A70477">
              <w:rPr>
                <w:webHidden/>
              </w:rPr>
              <w:tab/>
            </w:r>
            <w:r w:rsidR="00A70477">
              <w:rPr>
                <w:webHidden/>
              </w:rPr>
              <w:fldChar w:fldCharType="begin"/>
            </w:r>
            <w:r w:rsidR="00A70477">
              <w:rPr>
                <w:webHidden/>
              </w:rPr>
              <w:instrText xml:space="preserve"> PAGEREF _Toc23249990 \h </w:instrText>
            </w:r>
            <w:r w:rsidR="00A70477">
              <w:rPr>
                <w:webHidden/>
              </w:rPr>
            </w:r>
            <w:r w:rsidR="00A70477">
              <w:rPr>
                <w:webHidden/>
              </w:rPr>
              <w:fldChar w:fldCharType="separate"/>
            </w:r>
            <w:r w:rsidR="00A70477">
              <w:rPr>
                <w:webHidden/>
              </w:rPr>
              <w:t>4</w:t>
            </w:r>
            <w:r w:rsidR="00A70477">
              <w:rPr>
                <w:webHidden/>
              </w:rPr>
              <w:fldChar w:fldCharType="end"/>
            </w:r>
          </w:hyperlink>
        </w:p>
        <w:p w14:paraId="44908A44" w14:textId="15111476" w:rsidR="00A70477" w:rsidRDefault="009D6009">
          <w:pPr>
            <w:pStyle w:val="TOC2"/>
            <w:rPr>
              <w:rFonts w:asciiTheme="minorHAnsi" w:eastAsiaTheme="minorEastAsia" w:hAnsiTheme="minorHAnsi"/>
              <w:b w:val="0"/>
              <w:bCs w:val="0"/>
              <w:noProof/>
              <w:color w:val="auto"/>
            </w:rPr>
          </w:pPr>
          <w:hyperlink w:anchor="_Toc23249991" w:history="1">
            <w:r w:rsidR="00A70477" w:rsidRPr="00951E93">
              <w:rPr>
                <w:rStyle w:val="Hyperlink"/>
                <w:noProof/>
              </w:rPr>
              <w:t>Fuel Substitution Measure Procedures</w:t>
            </w:r>
            <w:r w:rsidR="00A70477">
              <w:rPr>
                <w:noProof/>
                <w:webHidden/>
              </w:rPr>
              <w:tab/>
            </w:r>
            <w:r w:rsidR="00A70477">
              <w:rPr>
                <w:noProof/>
                <w:webHidden/>
              </w:rPr>
              <w:fldChar w:fldCharType="begin"/>
            </w:r>
            <w:r w:rsidR="00A70477">
              <w:rPr>
                <w:noProof/>
                <w:webHidden/>
              </w:rPr>
              <w:instrText xml:space="preserve"> PAGEREF _Toc23249991 \h </w:instrText>
            </w:r>
            <w:r w:rsidR="00A70477">
              <w:rPr>
                <w:noProof/>
                <w:webHidden/>
              </w:rPr>
            </w:r>
            <w:r w:rsidR="00A70477">
              <w:rPr>
                <w:noProof/>
                <w:webHidden/>
              </w:rPr>
              <w:fldChar w:fldCharType="separate"/>
            </w:r>
            <w:r w:rsidR="00A70477">
              <w:rPr>
                <w:noProof/>
                <w:webHidden/>
              </w:rPr>
              <w:t>4</w:t>
            </w:r>
            <w:r w:rsidR="00A70477">
              <w:rPr>
                <w:noProof/>
                <w:webHidden/>
              </w:rPr>
              <w:fldChar w:fldCharType="end"/>
            </w:r>
          </w:hyperlink>
        </w:p>
        <w:p w14:paraId="78151D41" w14:textId="1DDE5481" w:rsidR="00A70477" w:rsidRDefault="009D6009">
          <w:pPr>
            <w:pStyle w:val="TOC2"/>
            <w:rPr>
              <w:rFonts w:asciiTheme="minorHAnsi" w:eastAsiaTheme="minorEastAsia" w:hAnsiTheme="minorHAnsi"/>
              <w:b w:val="0"/>
              <w:bCs w:val="0"/>
              <w:noProof/>
              <w:color w:val="auto"/>
            </w:rPr>
          </w:pPr>
          <w:hyperlink w:anchor="_Toc23249992" w:history="1">
            <w:r w:rsidR="00A70477" w:rsidRPr="00951E93">
              <w:rPr>
                <w:rStyle w:val="Hyperlink"/>
                <w:noProof/>
              </w:rPr>
              <w:t>Step 1 – Determine the New Measure &amp; Baseline Technology</w:t>
            </w:r>
            <w:r w:rsidR="00A70477">
              <w:rPr>
                <w:noProof/>
                <w:webHidden/>
              </w:rPr>
              <w:tab/>
            </w:r>
            <w:r w:rsidR="00A70477">
              <w:rPr>
                <w:noProof/>
                <w:webHidden/>
              </w:rPr>
              <w:fldChar w:fldCharType="begin"/>
            </w:r>
            <w:r w:rsidR="00A70477">
              <w:rPr>
                <w:noProof/>
                <w:webHidden/>
              </w:rPr>
              <w:instrText xml:space="preserve"> PAGEREF _Toc23249992 \h </w:instrText>
            </w:r>
            <w:r w:rsidR="00A70477">
              <w:rPr>
                <w:noProof/>
                <w:webHidden/>
              </w:rPr>
            </w:r>
            <w:r w:rsidR="00A70477">
              <w:rPr>
                <w:noProof/>
                <w:webHidden/>
              </w:rPr>
              <w:fldChar w:fldCharType="separate"/>
            </w:r>
            <w:r w:rsidR="00A70477">
              <w:rPr>
                <w:noProof/>
                <w:webHidden/>
              </w:rPr>
              <w:t>4</w:t>
            </w:r>
            <w:r w:rsidR="00A70477">
              <w:rPr>
                <w:noProof/>
                <w:webHidden/>
              </w:rPr>
              <w:fldChar w:fldCharType="end"/>
            </w:r>
          </w:hyperlink>
        </w:p>
        <w:p w14:paraId="5D103C8D" w14:textId="2FD2923C" w:rsidR="00A70477" w:rsidRDefault="009D6009">
          <w:pPr>
            <w:pStyle w:val="TOC2"/>
            <w:rPr>
              <w:rFonts w:asciiTheme="minorHAnsi" w:eastAsiaTheme="minorEastAsia" w:hAnsiTheme="minorHAnsi"/>
              <w:b w:val="0"/>
              <w:bCs w:val="0"/>
              <w:noProof/>
              <w:color w:val="auto"/>
            </w:rPr>
          </w:pPr>
          <w:hyperlink w:anchor="_Toc23249993" w:history="1">
            <w:r w:rsidR="00A70477" w:rsidRPr="00951E93">
              <w:rPr>
                <w:rStyle w:val="Hyperlink"/>
                <w:noProof/>
              </w:rPr>
              <w:t>Step 2 – Calculate Site Energy, Source Energy, and CO</w:t>
            </w:r>
            <w:r w:rsidR="00A70477" w:rsidRPr="00951E93">
              <w:rPr>
                <w:rStyle w:val="Hyperlink"/>
                <w:noProof/>
                <w:vertAlign w:val="subscript"/>
              </w:rPr>
              <w:t>2</w:t>
            </w:r>
            <w:r w:rsidR="00A70477" w:rsidRPr="00951E93">
              <w:rPr>
                <w:rStyle w:val="Hyperlink"/>
                <w:noProof/>
              </w:rPr>
              <w:t xml:space="preserve"> Emissions</w:t>
            </w:r>
            <w:r w:rsidR="00A70477">
              <w:rPr>
                <w:noProof/>
                <w:webHidden/>
              </w:rPr>
              <w:tab/>
            </w:r>
            <w:r w:rsidR="00A70477">
              <w:rPr>
                <w:noProof/>
                <w:webHidden/>
              </w:rPr>
              <w:fldChar w:fldCharType="begin"/>
            </w:r>
            <w:r w:rsidR="00A70477">
              <w:rPr>
                <w:noProof/>
                <w:webHidden/>
              </w:rPr>
              <w:instrText xml:space="preserve"> PAGEREF _Toc23249993 \h </w:instrText>
            </w:r>
            <w:r w:rsidR="00A70477">
              <w:rPr>
                <w:noProof/>
                <w:webHidden/>
              </w:rPr>
            </w:r>
            <w:r w:rsidR="00A70477">
              <w:rPr>
                <w:noProof/>
                <w:webHidden/>
              </w:rPr>
              <w:fldChar w:fldCharType="separate"/>
            </w:r>
            <w:r w:rsidR="00A70477">
              <w:rPr>
                <w:noProof/>
                <w:webHidden/>
              </w:rPr>
              <w:t>5</w:t>
            </w:r>
            <w:r w:rsidR="00A70477">
              <w:rPr>
                <w:noProof/>
                <w:webHidden/>
              </w:rPr>
              <w:fldChar w:fldCharType="end"/>
            </w:r>
          </w:hyperlink>
        </w:p>
        <w:p w14:paraId="7C41952D" w14:textId="29E86C3C" w:rsidR="00A70477" w:rsidRDefault="009D6009">
          <w:pPr>
            <w:pStyle w:val="TOC2"/>
            <w:rPr>
              <w:rFonts w:asciiTheme="minorHAnsi" w:eastAsiaTheme="minorEastAsia" w:hAnsiTheme="minorHAnsi"/>
              <w:b w:val="0"/>
              <w:bCs w:val="0"/>
              <w:noProof/>
              <w:color w:val="auto"/>
            </w:rPr>
          </w:pPr>
          <w:hyperlink w:anchor="_Toc23249997" w:history="1">
            <w:r w:rsidR="00A70477" w:rsidRPr="00951E93">
              <w:rPr>
                <w:rStyle w:val="Hyperlink"/>
                <w:noProof/>
              </w:rPr>
              <w:t>Step 3 – Determine Submission Process: Deemed Workpapers or Custom Project</w:t>
            </w:r>
            <w:r w:rsidR="00A70477">
              <w:rPr>
                <w:noProof/>
                <w:webHidden/>
              </w:rPr>
              <w:tab/>
            </w:r>
            <w:r w:rsidR="00A70477">
              <w:rPr>
                <w:noProof/>
                <w:webHidden/>
              </w:rPr>
              <w:fldChar w:fldCharType="begin"/>
            </w:r>
            <w:r w:rsidR="00A70477">
              <w:rPr>
                <w:noProof/>
                <w:webHidden/>
              </w:rPr>
              <w:instrText xml:space="preserve"> PAGEREF _Toc23249997 \h </w:instrText>
            </w:r>
            <w:r w:rsidR="00A70477">
              <w:rPr>
                <w:noProof/>
                <w:webHidden/>
              </w:rPr>
            </w:r>
            <w:r w:rsidR="00A70477">
              <w:rPr>
                <w:noProof/>
                <w:webHidden/>
              </w:rPr>
              <w:fldChar w:fldCharType="separate"/>
            </w:r>
            <w:r w:rsidR="00A70477">
              <w:rPr>
                <w:noProof/>
                <w:webHidden/>
              </w:rPr>
              <w:t>8</w:t>
            </w:r>
            <w:r w:rsidR="00A70477">
              <w:rPr>
                <w:noProof/>
                <w:webHidden/>
              </w:rPr>
              <w:fldChar w:fldCharType="end"/>
            </w:r>
          </w:hyperlink>
        </w:p>
        <w:p w14:paraId="7B04E10C" w14:textId="635FD9D7" w:rsidR="00A70477" w:rsidRDefault="009D6009">
          <w:pPr>
            <w:pStyle w:val="TOC2"/>
            <w:rPr>
              <w:rFonts w:asciiTheme="minorHAnsi" w:eastAsiaTheme="minorEastAsia" w:hAnsiTheme="minorHAnsi"/>
              <w:b w:val="0"/>
              <w:bCs w:val="0"/>
              <w:noProof/>
              <w:color w:val="auto"/>
            </w:rPr>
          </w:pPr>
          <w:hyperlink w:anchor="_Toc23249998" w:history="1">
            <w:r w:rsidR="00A70477" w:rsidRPr="00951E93">
              <w:rPr>
                <w:rStyle w:val="Hyperlink"/>
                <w:noProof/>
              </w:rPr>
              <w:t>Step 4 - Reporting Energy Savings</w:t>
            </w:r>
            <w:r w:rsidR="00A70477">
              <w:rPr>
                <w:noProof/>
                <w:webHidden/>
              </w:rPr>
              <w:tab/>
            </w:r>
            <w:r w:rsidR="00A70477">
              <w:rPr>
                <w:noProof/>
                <w:webHidden/>
              </w:rPr>
              <w:fldChar w:fldCharType="begin"/>
            </w:r>
            <w:r w:rsidR="00A70477">
              <w:rPr>
                <w:noProof/>
                <w:webHidden/>
              </w:rPr>
              <w:instrText xml:space="preserve"> PAGEREF _Toc23249998 \h </w:instrText>
            </w:r>
            <w:r w:rsidR="00A70477">
              <w:rPr>
                <w:noProof/>
                <w:webHidden/>
              </w:rPr>
            </w:r>
            <w:r w:rsidR="00A70477">
              <w:rPr>
                <w:noProof/>
                <w:webHidden/>
              </w:rPr>
              <w:fldChar w:fldCharType="separate"/>
            </w:r>
            <w:r w:rsidR="00A70477">
              <w:rPr>
                <w:noProof/>
                <w:webHidden/>
              </w:rPr>
              <w:t>8</w:t>
            </w:r>
            <w:r w:rsidR="00A70477">
              <w:rPr>
                <w:noProof/>
                <w:webHidden/>
              </w:rPr>
              <w:fldChar w:fldCharType="end"/>
            </w:r>
          </w:hyperlink>
        </w:p>
        <w:p w14:paraId="19624F2C" w14:textId="3BC49719" w:rsidR="00A70477" w:rsidRDefault="009D6009">
          <w:pPr>
            <w:pStyle w:val="TOC2"/>
            <w:rPr>
              <w:rFonts w:asciiTheme="minorHAnsi" w:eastAsiaTheme="minorEastAsia" w:hAnsiTheme="minorHAnsi"/>
              <w:b w:val="0"/>
              <w:bCs w:val="0"/>
              <w:noProof/>
              <w:color w:val="auto"/>
            </w:rPr>
          </w:pPr>
          <w:hyperlink w:anchor="_Toc23250001" w:history="1">
            <w:r w:rsidR="00A70477" w:rsidRPr="00951E93">
              <w:rPr>
                <w:rStyle w:val="Hyperlink"/>
                <w:noProof/>
              </w:rPr>
              <w:t>Step 5 – Evaluate Cost Effectiveness</w:t>
            </w:r>
            <w:r w:rsidR="00A70477">
              <w:rPr>
                <w:noProof/>
                <w:webHidden/>
              </w:rPr>
              <w:tab/>
            </w:r>
            <w:r w:rsidR="00A70477">
              <w:rPr>
                <w:noProof/>
                <w:webHidden/>
              </w:rPr>
              <w:fldChar w:fldCharType="begin"/>
            </w:r>
            <w:r w:rsidR="00A70477">
              <w:rPr>
                <w:noProof/>
                <w:webHidden/>
              </w:rPr>
              <w:instrText xml:space="preserve"> PAGEREF _Toc23250001 \h </w:instrText>
            </w:r>
            <w:r w:rsidR="00A70477">
              <w:rPr>
                <w:noProof/>
                <w:webHidden/>
              </w:rPr>
            </w:r>
            <w:r w:rsidR="00A70477">
              <w:rPr>
                <w:noProof/>
                <w:webHidden/>
              </w:rPr>
              <w:fldChar w:fldCharType="separate"/>
            </w:r>
            <w:r w:rsidR="00A70477">
              <w:rPr>
                <w:noProof/>
                <w:webHidden/>
              </w:rPr>
              <w:t>10</w:t>
            </w:r>
            <w:r w:rsidR="00A70477">
              <w:rPr>
                <w:noProof/>
                <w:webHidden/>
              </w:rPr>
              <w:fldChar w:fldCharType="end"/>
            </w:r>
          </w:hyperlink>
        </w:p>
        <w:p w14:paraId="6B841948" w14:textId="660589D5" w:rsidR="00A70477" w:rsidRDefault="009D6009">
          <w:pPr>
            <w:pStyle w:val="TOC1"/>
            <w:rPr>
              <w:rFonts w:eastAsiaTheme="minorEastAsia" w:cstheme="minorBidi"/>
              <w:b w:val="0"/>
              <w:bCs w:val="0"/>
              <w:color w:val="auto"/>
              <w:szCs w:val="22"/>
            </w:rPr>
          </w:pPr>
          <w:hyperlink w:anchor="_Toc23250002" w:history="1">
            <w:r w:rsidR="00A70477" w:rsidRPr="00951E93">
              <w:rPr>
                <w:rStyle w:val="Hyperlink"/>
              </w:rPr>
              <w:t>Chapter 3</w:t>
            </w:r>
            <w:r w:rsidR="00A70477">
              <w:rPr>
                <w:rFonts w:eastAsiaTheme="minorEastAsia" w:cstheme="minorBidi"/>
                <w:b w:val="0"/>
                <w:bCs w:val="0"/>
                <w:color w:val="auto"/>
                <w:szCs w:val="22"/>
              </w:rPr>
              <w:tab/>
            </w:r>
            <w:r w:rsidR="00A70477" w:rsidRPr="00951E93">
              <w:rPr>
                <w:rStyle w:val="Hyperlink"/>
              </w:rPr>
              <w:t>Fuel Substitution Calculator Methodology</w:t>
            </w:r>
            <w:r w:rsidR="00A70477">
              <w:rPr>
                <w:webHidden/>
              </w:rPr>
              <w:tab/>
            </w:r>
            <w:r w:rsidR="00A70477">
              <w:rPr>
                <w:webHidden/>
              </w:rPr>
              <w:fldChar w:fldCharType="begin"/>
            </w:r>
            <w:r w:rsidR="00A70477">
              <w:rPr>
                <w:webHidden/>
              </w:rPr>
              <w:instrText xml:space="preserve"> PAGEREF _Toc23250002 \h </w:instrText>
            </w:r>
            <w:r w:rsidR="00A70477">
              <w:rPr>
                <w:webHidden/>
              </w:rPr>
            </w:r>
            <w:r w:rsidR="00A70477">
              <w:rPr>
                <w:webHidden/>
              </w:rPr>
              <w:fldChar w:fldCharType="separate"/>
            </w:r>
            <w:r w:rsidR="00A70477">
              <w:rPr>
                <w:webHidden/>
              </w:rPr>
              <w:t>12</w:t>
            </w:r>
            <w:r w:rsidR="00A70477">
              <w:rPr>
                <w:webHidden/>
              </w:rPr>
              <w:fldChar w:fldCharType="end"/>
            </w:r>
          </w:hyperlink>
        </w:p>
        <w:p w14:paraId="45CAD83E" w14:textId="079E2E56" w:rsidR="00A70477" w:rsidRDefault="009D6009">
          <w:pPr>
            <w:pStyle w:val="TOC2"/>
            <w:rPr>
              <w:rFonts w:asciiTheme="minorHAnsi" w:eastAsiaTheme="minorEastAsia" w:hAnsiTheme="minorHAnsi"/>
              <w:b w:val="0"/>
              <w:bCs w:val="0"/>
              <w:noProof/>
              <w:color w:val="auto"/>
            </w:rPr>
          </w:pPr>
          <w:hyperlink w:anchor="_Toc23250003" w:history="1">
            <w:r w:rsidR="00A70477" w:rsidRPr="00951E93">
              <w:rPr>
                <w:rStyle w:val="Hyperlink"/>
                <w:noProof/>
              </w:rPr>
              <w:t>Calculator Overview</w:t>
            </w:r>
            <w:r w:rsidR="00A70477">
              <w:rPr>
                <w:noProof/>
                <w:webHidden/>
              </w:rPr>
              <w:tab/>
            </w:r>
            <w:r w:rsidR="00A70477">
              <w:rPr>
                <w:noProof/>
                <w:webHidden/>
              </w:rPr>
              <w:fldChar w:fldCharType="begin"/>
            </w:r>
            <w:r w:rsidR="00A70477">
              <w:rPr>
                <w:noProof/>
                <w:webHidden/>
              </w:rPr>
              <w:instrText xml:space="preserve"> PAGEREF _Toc23250003 \h </w:instrText>
            </w:r>
            <w:r w:rsidR="00A70477">
              <w:rPr>
                <w:noProof/>
                <w:webHidden/>
              </w:rPr>
            </w:r>
            <w:r w:rsidR="00A70477">
              <w:rPr>
                <w:noProof/>
                <w:webHidden/>
              </w:rPr>
              <w:fldChar w:fldCharType="separate"/>
            </w:r>
            <w:r w:rsidR="00A70477">
              <w:rPr>
                <w:noProof/>
                <w:webHidden/>
              </w:rPr>
              <w:t>12</w:t>
            </w:r>
            <w:r w:rsidR="00A70477">
              <w:rPr>
                <w:noProof/>
                <w:webHidden/>
              </w:rPr>
              <w:fldChar w:fldCharType="end"/>
            </w:r>
          </w:hyperlink>
        </w:p>
        <w:p w14:paraId="11D68A62" w14:textId="12D528CA" w:rsidR="00A70477" w:rsidRDefault="009D6009">
          <w:pPr>
            <w:pStyle w:val="TOC2"/>
            <w:rPr>
              <w:rFonts w:asciiTheme="minorHAnsi" w:eastAsiaTheme="minorEastAsia" w:hAnsiTheme="minorHAnsi"/>
              <w:b w:val="0"/>
              <w:bCs w:val="0"/>
              <w:noProof/>
              <w:color w:val="auto"/>
            </w:rPr>
          </w:pPr>
          <w:hyperlink w:anchor="_Toc23250004" w:history="1">
            <w:r w:rsidR="00A70477" w:rsidRPr="00951E93">
              <w:rPr>
                <w:rStyle w:val="Hyperlink"/>
                <w:noProof/>
              </w:rPr>
              <w:t>Section 1: Required Measure Inputs</w:t>
            </w:r>
            <w:r w:rsidR="00A70477">
              <w:rPr>
                <w:noProof/>
                <w:webHidden/>
              </w:rPr>
              <w:tab/>
            </w:r>
            <w:r w:rsidR="00A70477">
              <w:rPr>
                <w:noProof/>
                <w:webHidden/>
              </w:rPr>
              <w:fldChar w:fldCharType="begin"/>
            </w:r>
            <w:r w:rsidR="00A70477">
              <w:rPr>
                <w:noProof/>
                <w:webHidden/>
              </w:rPr>
              <w:instrText xml:space="preserve"> PAGEREF _Toc23250004 \h </w:instrText>
            </w:r>
            <w:r w:rsidR="00A70477">
              <w:rPr>
                <w:noProof/>
                <w:webHidden/>
              </w:rPr>
            </w:r>
            <w:r w:rsidR="00A70477">
              <w:rPr>
                <w:noProof/>
                <w:webHidden/>
              </w:rPr>
              <w:fldChar w:fldCharType="separate"/>
            </w:r>
            <w:r w:rsidR="00A70477">
              <w:rPr>
                <w:noProof/>
                <w:webHidden/>
              </w:rPr>
              <w:t>12</w:t>
            </w:r>
            <w:r w:rsidR="00A70477">
              <w:rPr>
                <w:noProof/>
                <w:webHidden/>
              </w:rPr>
              <w:fldChar w:fldCharType="end"/>
            </w:r>
          </w:hyperlink>
        </w:p>
        <w:p w14:paraId="6E878C7E" w14:textId="3CCAEE20" w:rsidR="00A70477" w:rsidRDefault="009D6009">
          <w:pPr>
            <w:pStyle w:val="TOC2"/>
            <w:rPr>
              <w:rFonts w:asciiTheme="minorHAnsi" w:eastAsiaTheme="minorEastAsia" w:hAnsiTheme="minorHAnsi"/>
              <w:b w:val="0"/>
              <w:bCs w:val="0"/>
              <w:noProof/>
              <w:color w:val="auto"/>
            </w:rPr>
          </w:pPr>
          <w:hyperlink w:anchor="_Toc23250005" w:history="1">
            <w:r w:rsidR="00A70477" w:rsidRPr="00951E93">
              <w:rPr>
                <w:rStyle w:val="Hyperlink"/>
                <w:noProof/>
              </w:rPr>
              <w:t>Section 2: The Fuel Substitution Test</w:t>
            </w:r>
            <w:r w:rsidR="00A70477">
              <w:rPr>
                <w:noProof/>
                <w:webHidden/>
              </w:rPr>
              <w:tab/>
            </w:r>
            <w:r w:rsidR="00A70477">
              <w:rPr>
                <w:noProof/>
                <w:webHidden/>
              </w:rPr>
              <w:fldChar w:fldCharType="begin"/>
            </w:r>
            <w:r w:rsidR="00A70477">
              <w:rPr>
                <w:noProof/>
                <w:webHidden/>
              </w:rPr>
              <w:instrText xml:space="preserve"> PAGEREF _Toc23250005 \h </w:instrText>
            </w:r>
            <w:r w:rsidR="00A70477">
              <w:rPr>
                <w:noProof/>
                <w:webHidden/>
              </w:rPr>
            </w:r>
            <w:r w:rsidR="00A70477">
              <w:rPr>
                <w:noProof/>
                <w:webHidden/>
              </w:rPr>
              <w:fldChar w:fldCharType="separate"/>
            </w:r>
            <w:r w:rsidR="00A70477">
              <w:rPr>
                <w:noProof/>
                <w:webHidden/>
              </w:rPr>
              <w:t>13</w:t>
            </w:r>
            <w:r w:rsidR="00A70477">
              <w:rPr>
                <w:noProof/>
                <w:webHidden/>
              </w:rPr>
              <w:fldChar w:fldCharType="end"/>
            </w:r>
          </w:hyperlink>
        </w:p>
        <w:p w14:paraId="6125B522" w14:textId="3B7F9C58" w:rsidR="00A70477" w:rsidRDefault="009D6009">
          <w:pPr>
            <w:pStyle w:val="TOC2"/>
            <w:rPr>
              <w:rFonts w:asciiTheme="minorHAnsi" w:eastAsiaTheme="minorEastAsia" w:hAnsiTheme="minorHAnsi"/>
              <w:b w:val="0"/>
              <w:bCs w:val="0"/>
              <w:noProof/>
              <w:color w:val="auto"/>
            </w:rPr>
          </w:pPr>
          <w:hyperlink w:anchor="_Toc23250006" w:history="1">
            <w:r w:rsidR="00A70477" w:rsidRPr="00951E93">
              <w:rPr>
                <w:rStyle w:val="Hyperlink"/>
                <w:noProof/>
              </w:rPr>
              <w:t>Section 3: Reporting Energy Savings and Energy Savings Inputs into CET</w:t>
            </w:r>
            <w:r w:rsidR="00A70477">
              <w:rPr>
                <w:noProof/>
                <w:webHidden/>
              </w:rPr>
              <w:tab/>
            </w:r>
            <w:r w:rsidR="00A70477">
              <w:rPr>
                <w:noProof/>
                <w:webHidden/>
              </w:rPr>
              <w:fldChar w:fldCharType="begin"/>
            </w:r>
            <w:r w:rsidR="00A70477">
              <w:rPr>
                <w:noProof/>
                <w:webHidden/>
              </w:rPr>
              <w:instrText xml:space="preserve"> PAGEREF _Toc23250006 \h </w:instrText>
            </w:r>
            <w:r w:rsidR="00A70477">
              <w:rPr>
                <w:noProof/>
                <w:webHidden/>
              </w:rPr>
            </w:r>
            <w:r w:rsidR="00A70477">
              <w:rPr>
                <w:noProof/>
                <w:webHidden/>
              </w:rPr>
              <w:fldChar w:fldCharType="separate"/>
            </w:r>
            <w:r w:rsidR="00A70477">
              <w:rPr>
                <w:noProof/>
                <w:webHidden/>
              </w:rPr>
              <w:t>16</w:t>
            </w:r>
            <w:r w:rsidR="00A70477">
              <w:rPr>
                <w:noProof/>
                <w:webHidden/>
              </w:rPr>
              <w:fldChar w:fldCharType="end"/>
            </w:r>
          </w:hyperlink>
        </w:p>
        <w:p w14:paraId="7EA2C0D3" w14:textId="19AC09C3" w:rsidR="00A70477" w:rsidRDefault="009D6009">
          <w:pPr>
            <w:pStyle w:val="TOC1"/>
            <w:rPr>
              <w:rFonts w:eastAsiaTheme="minorEastAsia" w:cstheme="minorBidi"/>
              <w:b w:val="0"/>
              <w:bCs w:val="0"/>
              <w:color w:val="auto"/>
              <w:szCs w:val="22"/>
            </w:rPr>
          </w:pPr>
          <w:hyperlink w:anchor="_Toc23250007" w:history="1">
            <w:r w:rsidR="00A70477" w:rsidRPr="00951E93">
              <w:rPr>
                <w:rStyle w:val="Hyperlink"/>
              </w:rPr>
              <w:t>Chapter 4</w:t>
            </w:r>
            <w:r w:rsidR="00A70477">
              <w:rPr>
                <w:rFonts w:eastAsiaTheme="minorEastAsia" w:cstheme="minorBidi"/>
                <w:b w:val="0"/>
                <w:bCs w:val="0"/>
                <w:color w:val="auto"/>
                <w:szCs w:val="22"/>
              </w:rPr>
              <w:tab/>
            </w:r>
            <w:r w:rsidR="00A70477" w:rsidRPr="00951E93">
              <w:rPr>
                <w:rStyle w:val="Hyperlink"/>
              </w:rPr>
              <w:t>Claimed EE Savings - Calculation Examples</w:t>
            </w:r>
            <w:r w:rsidR="00A70477">
              <w:rPr>
                <w:webHidden/>
              </w:rPr>
              <w:tab/>
            </w:r>
            <w:r w:rsidR="00A70477">
              <w:rPr>
                <w:webHidden/>
              </w:rPr>
              <w:fldChar w:fldCharType="begin"/>
            </w:r>
            <w:r w:rsidR="00A70477">
              <w:rPr>
                <w:webHidden/>
              </w:rPr>
              <w:instrText xml:space="preserve"> PAGEREF _Toc23250007 \h </w:instrText>
            </w:r>
            <w:r w:rsidR="00A70477">
              <w:rPr>
                <w:webHidden/>
              </w:rPr>
            </w:r>
            <w:r w:rsidR="00A70477">
              <w:rPr>
                <w:webHidden/>
              </w:rPr>
              <w:fldChar w:fldCharType="separate"/>
            </w:r>
            <w:r w:rsidR="00A70477">
              <w:rPr>
                <w:webHidden/>
              </w:rPr>
              <w:t>17</w:t>
            </w:r>
            <w:r w:rsidR="00A70477">
              <w:rPr>
                <w:webHidden/>
              </w:rPr>
              <w:fldChar w:fldCharType="end"/>
            </w:r>
          </w:hyperlink>
        </w:p>
        <w:p w14:paraId="44CC58EF" w14:textId="739482A9" w:rsidR="00A70477" w:rsidRDefault="009D6009">
          <w:pPr>
            <w:pStyle w:val="TOC1"/>
            <w:rPr>
              <w:rFonts w:eastAsiaTheme="minorEastAsia" w:cstheme="minorBidi"/>
              <w:b w:val="0"/>
              <w:bCs w:val="0"/>
              <w:color w:val="auto"/>
              <w:szCs w:val="22"/>
            </w:rPr>
          </w:pPr>
          <w:hyperlink w:anchor="_Toc23250008" w:history="1">
            <w:r w:rsidR="00A70477" w:rsidRPr="00951E93">
              <w:rPr>
                <w:rStyle w:val="Hyperlink"/>
              </w:rPr>
              <w:t>Appendix A– Source Energy and Emissions Determination</w:t>
            </w:r>
            <w:r w:rsidR="00A70477">
              <w:rPr>
                <w:webHidden/>
              </w:rPr>
              <w:tab/>
            </w:r>
            <w:r w:rsidR="00A70477">
              <w:rPr>
                <w:webHidden/>
              </w:rPr>
              <w:fldChar w:fldCharType="begin"/>
            </w:r>
            <w:r w:rsidR="00A70477">
              <w:rPr>
                <w:webHidden/>
              </w:rPr>
              <w:instrText xml:space="preserve"> PAGEREF _Toc23250008 \h </w:instrText>
            </w:r>
            <w:r w:rsidR="00A70477">
              <w:rPr>
                <w:webHidden/>
              </w:rPr>
            </w:r>
            <w:r w:rsidR="00A70477">
              <w:rPr>
                <w:webHidden/>
              </w:rPr>
              <w:fldChar w:fldCharType="separate"/>
            </w:r>
            <w:r w:rsidR="00A70477">
              <w:rPr>
                <w:webHidden/>
              </w:rPr>
              <w:t>19</w:t>
            </w:r>
            <w:r w:rsidR="00A70477">
              <w:rPr>
                <w:webHidden/>
              </w:rPr>
              <w:fldChar w:fldCharType="end"/>
            </w:r>
          </w:hyperlink>
        </w:p>
        <w:p w14:paraId="6E7CB372" w14:textId="23DAB68D" w:rsidR="00A70477" w:rsidRDefault="009D6009">
          <w:pPr>
            <w:pStyle w:val="TOC1"/>
            <w:rPr>
              <w:rFonts w:eastAsiaTheme="minorEastAsia" w:cstheme="minorBidi"/>
              <w:b w:val="0"/>
              <w:bCs w:val="0"/>
              <w:color w:val="auto"/>
              <w:szCs w:val="22"/>
            </w:rPr>
          </w:pPr>
          <w:hyperlink w:anchor="_Toc23250009" w:history="1">
            <w:r w:rsidR="00A70477" w:rsidRPr="00951E93">
              <w:rPr>
                <w:rStyle w:val="Hyperlink"/>
              </w:rPr>
              <w:t>Appendix B – Sites with on-site generation</w:t>
            </w:r>
            <w:r w:rsidR="00A70477">
              <w:rPr>
                <w:webHidden/>
              </w:rPr>
              <w:tab/>
            </w:r>
            <w:r w:rsidR="00A70477">
              <w:rPr>
                <w:webHidden/>
              </w:rPr>
              <w:fldChar w:fldCharType="begin"/>
            </w:r>
            <w:r w:rsidR="00A70477">
              <w:rPr>
                <w:webHidden/>
              </w:rPr>
              <w:instrText xml:space="preserve"> PAGEREF _Toc23250009 \h </w:instrText>
            </w:r>
            <w:r w:rsidR="00A70477">
              <w:rPr>
                <w:webHidden/>
              </w:rPr>
            </w:r>
            <w:r w:rsidR="00A70477">
              <w:rPr>
                <w:webHidden/>
              </w:rPr>
              <w:fldChar w:fldCharType="separate"/>
            </w:r>
            <w:r w:rsidR="00A70477">
              <w:rPr>
                <w:webHidden/>
              </w:rPr>
              <w:t>25</w:t>
            </w:r>
            <w:r w:rsidR="00A70477">
              <w:rPr>
                <w:webHidden/>
              </w:rPr>
              <w:fldChar w:fldCharType="end"/>
            </w:r>
          </w:hyperlink>
        </w:p>
        <w:p w14:paraId="40FD0876" w14:textId="66B5171C" w:rsidR="00A70477" w:rsidRDefault="009D6009">
          <w:pPr>
            <w:pStyle w:val="TOC1"/>
            <w:rPr>
              <w:rFonts w:eastAsiaTheme="minorEastAsia" w:cstheme="minorBidi"/>
              <w:b w:val="0"/>
              <w:bCs w:val="0"/>
              <w:color w:val="auto"/>
              <w:szCs w:val="22"/>
            </w:rPr>
          </w:pPr>
          <w:hyperlink w:anchor="_Toc23250010" w:history="1">
            <w:r w:rsidR="00A70477" w:rsidRPr="00951E93">
              <w:rPr>
                <w:rStyle w:val="Hyperlink"/>
              </w:rPr>
              <w:t>Appendix C – Glossary</w:t>
            </w:r>
            <w:r w:rsidR="00A70477">
              <w:rPr>
                <w:webHidden/>
              </w:rPr>
              <w:tab/>
            </w:r>
            <w:r w:rsidR="00A70477">
              <w:rPr>
                <w:webHidden/>
              </w:rPr>
              <w:fldChar w:fldCharType="begin"/>
            </w:r>
            <w:r w:rsidR="00A70477">
              <w:rPr>
                <w:webHidden/>
              </w:rPr>
              <w:instrText xml:space="preserve"> PAGEREF _Toc23250010 \h </w:instrText>
            </w:r>
            <w:r w:rsidR="00A70477">
              <w:rPr>
                <w:webHidden/>
              </w:rPr>
            </w:r>
            <w:r w:rsidR="00A70477">
              <w:rPr>
                <w:webHidden/>
              </w:rPr>
              <w:fldChar w:fldCharType="separate"/>
            </w:r>
            <w:r w:rsidR="00A70477">
              <w:rPr>
                <w:webHidden/>
              </w:rPr>
              <w:t>26</w:t>
            </w:r>
            <w:r w:rsidR="00A70477">
              <w:rPr>
                <w:webHidden/>
              </w:rPr>
              <w:fldChar w:fldCharType="end"/>
            </w:r>
          </w:hyperlink>
        </w:p>
        <w:p w14:paraId="4E92B3FC" w14:textId="3DFB1B62" w:rsidR="0091403B" w:rsidRDefault="0091403B">
          <w:r>
            <w:rPr>
              <w:b/>
              <w:bCs/>
              <w:noProof/>
            </w:rPr>
            <w:fldChar w:fldCharType="end"/>
          </w:r>
        </w:p>
      </w:sdtContent>
    </w:sdt>
    <w:p w14:paraId="6DBB947A" w14:textId="77777777" w:rsidR="0091630C" w:rsidRPr="00E9435E" w:rsidRDefault="0091630C" w:rsidP="00DE13AD">
      <w:pPr>
        <w:tabs>
          <w:tab w:val="left" w:pos="5136"/>
        </w:tabs>
      </w:pPr>
    </w:p>
    <w:p w14:paraId="1448A07E" w14:textId="77777777" w:rsidR="0091630C" w:rsidRPr="00E9435E" w:rsidRDefault="0091630C" w:rsidP="00DE13AD">
      <w:pPr>
        <w:tabs>
          <w:tab w:val="left" w:pos="5136"/>
        </w:tabs>
      </w:pPr>
    </w:p>
    <w:p w14:paraId="4141AD3B" w14:textId="77777777" w:rsidR="0091630C" w:rsidRPr="00E9435E" w:rsidRDefault="0091630C" w:rsidP="00DE13AD">
      <w:pPr>
        <w:tabs>
          <w:tab w:val="left" w:pos="5136"/>
        </w:tabs>
      </w:pPr>
    </w:p>
    <w:p w14:paraId="0F9F97C3" w14:textId="77777777" w:rsidR="0091630C" w:rsidRPr="00E9435E" w:rsidRDefault="0091630C" w:rsidP="00DE13AD">
      <w:pPr>
        <w:tabs>
          <w:tab w:val="left" w:pos="5136"/>
        </w:tabs>
      </w:pPr>
    </w:p>
    <w:p w14:paraId="788DD9D2" w14:textId="77777777" w:rsidR="0091630C" w:rsidRPr="00E9435E" w:rsidRDefault="0091630C" w:rsidP="00DE13AD">
      <w:pPr>
        <w:tabs>
          <w:tab w:val="left" w:pos="5136"/>
        </w:tabs>
      </w:pPr>
    </w:p>
    <w:p w14:paraId="514572B1" w14:textId="43D01B6B" w:rsidR="00A90A72" w:rsidRPr="00E9435E" w:rsidRDefault="00A90A72" w:rsidP="00D10656">
      <w:pPr>
        <w:pStyle w:val="Heading1"/>
        <w:numPr>
          <w:ilvl w:val="0"/>
          <w:numId w:val="0"/>
        </w:numPr>
      </w:pPr>
      <w:bookmarkStart w:id="2" w:name="_Toc20765351"/>
      <w:bookmarkStart w:id="3" w:name="_Toc23249982"/>
      <w:r w:rsidRPr="00E9435E">
        <w:t>Revision History</w:t>
      </w:r>
      <w:bookmarkEnd w:id="2"/>
      <w:bookmarkEnd w:id="3"/>
    </w:p>
    <w:p w14:paraId="54E22B6F" w14:textId="77777777" w:rsidR="0091630C" w:rsidRPr="00E9435E" w:rsidRDefault="0091630C" w:rsidP="00DE13AD">
      <w:pPr>
        <w:tabs>
          <w:tab w:val="left" w:pos="5136"/>
        </w:tabs>
      </w:pPr>
    </w:p>
    <w:tbl>
      <w:tblPr>
        <w:tblStyle w:val="TableGrid"/>
        <w:tblW w:w="0" w:type="auto"/>
        <w:tblLook w:val="04A0" w:firstRow="1" w:lastRow="0" w:firstColumn="1" w:lastColumn="0" w:noHBand="0" w:noVBand="1"/>
      </w:tblPr>
      <w:tblGrid>
        <w:gridCol w:w="1255"/>
        <w:gridCol w:w="1530"/>
        <w:gridCol w:w="6565"/>
      </w:tblGrid>
      <w:tr w:rsidR="00A90A72" w:rsidRPr="00E9435E" w14:paraId="0AE5A56C" w14:textId="77777777" w:rsidTr="00612E11">
        <w:tc>
          <w:tcPr>
            <w:tcW w:w="1255" w:type="dxa"/>
          </w:tcPr>
          <w:p w14:paraId="71644256" w14:textId="32E0B6A1" w:rsidR="00A90A72" w:rsidRPr="00E9435E" w:rsidRDefault="00A90A72" w:rsidP="00DE13AD">
            <w:pPr>
              <w:tabs>
                <w:tab w:val="left" w:pos="5136"/>
              </w:tabs>
            </w:pPr>
            <w:r w:rsidRPr="00E9435E">
              <w:t>Version</w:t>
            </w:r>
          </w:p>
        </w:tc>
        <w:tc>
          <w:tcPr>
            <w:tcW w:w="1530" w:type="dxa"/>
          </w:tcPr>
          <w:p w14:paraId="2E51DBDF" w14:textId="71CB02F8" w:rsidR="00A90A72" w:rsidRPr="00E9435E" w:rsidRDefault="00A90A72" w:rsidP="00DE13AD">
            <w:pPr>
              <w:tabs>
                <w:tab w:val="left" w:pos="5136"/>
              </w:tabs>
            </w:pPr>
            <w:r w:rsidRPr="00E9435E">
              <w:t>Date</w:t>
            </w:r>
          </w:p>
        </w:tc>
        <w:tc>
          <w:tcPr>
            <w:tcW w:w="6565" w:type="dxa"/>
          </w:tcPr>
          <w:p w14:paraId="156CD2F4" w14:textId="143DE50C" w:rsidR="00A90A72" w:rsidRPr="00E9435E" w:rsidRDefault="00A90A72" w:rsidP="00DE13AD">
            <w:pPr>
              <w:tabs>
                <w:tab w:val="left" w:pos="5136"/>
              </w:tabs>
            </w:pPr>
            <w:r w:rsidRPr="00E9435E">
              <w:t>Updates</w:t>
            </w:r>
          </w:p>
        </w:tc>
      </w:tr>
      <w:tr w:rsidR="00A90A72" w:rsidRPr="00E9435E" w14:paraId="12110B07" w14:textId="77777777" w:rsidTr="00612E11">
        <w:tc>
          <w:tcPr>
            <w:tcW w:w="1255" w:type="dxa"/>
          </w:tcPr>
          <w:p w14:paraId="2707DE5A" w14:textId="05B22373" w:rsidR="00A90A72" w:rsidRPr="00E9435E" w:rsidRDefault="00D31787" w:rsidP="00DE13AD">
            <w:pPr>
              <w:tabs>
                <w:tab w:val="left" w:pos="5136"/>
              </w:tabs>
            </w:pPr>
            <w:r>
              <w:t>1.0</w:t>
            </w:r>
          </w:p>
        </w:tc>
        <w:tc>
          <w:tcPr>
            <w:tcW w:w="1530" w:type="dxa"/>
          </w:tcPr>
          <w:p w14:paraId="73E9EC6C" w14:textId="1263A02D" w:rsidR="00A90A72" w:rsidRPr="00E9435E" w:rsidRDefault="00D31787" w:rsidP="00DE13AD">
            <w:pPr>
              <w:tabs>
                <w:tab w:val="left" w:pos="5136"/>
              </w:tabs>
            </w:pPr>
            <w:r>
              <w:t>09/17/2019</w:t>
            </w:r>
          </w:p>
        </w:tc>
        <w:tc>
          <w:tcPr>
            <w:tcW w:w="6565" w:type="dxa"/>
          </w:tcPr>
          <w:p w14:paraId="701FE13E" w14:textId="44D585A3" w:rsidR="00A90A72" w:rsidRPr="00E9435E" w:rsidRDefault="00055415" w:rsidP="00DE13AD">
            <w:pPr>
              <w:tabs>
                <w:tab w:val="left" w:pos="5136"/>
              </w:tabs>
            </w:pPr>
            <w:r>
              <w:t xml:space="preserve">First </w:t>
            </w:r>
            <w:r w:rsidR="006C13E3">
              <w:t xml:space="preserve">draft of fuel substitution technical guidance for stakeholder feedback  </w:t>
            </w:r>
          </w:p>
        </w:tc>
      </w:tr>
      <w:tr w:rsidR="00984C67" w:rsidRPr="00E9435E" w14:paraId="23129AFE" w14:textId="77777777" w:rsidTr="00612E11">
        <w:tc>
          <w:tcPr>
            <w:tcW w:w="1255" w:type="dxa"/>
          </w:tcPr>
          <w:p w14:paraId="462511DE" w14:textId="2AAD6A20" w:rsidR="00984C67" w:rsidRPr="00E9435E" w:rsidRDefault="00D31787" w:rsidP="00984C67">
            <w:pPr>
              <w:tabs>
                <w:tab w:val="left" w:pos="5136"/>
              </w:tabs>
            </w:pPr>
            <w:r>
              <w:t>1.1</w:t>
            </w:r>
          </w:p>
        </w:tc>
        <w:tc>
          <w:tcPr>
            <w:tcW w:w="1530" w:type="dxa"/>
          </w:tcPr>
          <w:p w14:paraId="172B53BB" w14:textId="3A3A8168" w:rsidR="00984C67" w:rsidRPr="00E9435E" w:rsidRDefault="005A09FB" w:rsidP="00984C67">
            <w:pPr>
              <w:tabs>
                <w:tab w:val="left" w:pos="5136"/>
              </w:tabs>
            </w:pPr>
            <w:r>
              <w:t>10/31/2019</w:t>
            </w:r>
          </w:p>
        </w:tc>
        <w:tc>
          <w:tcPr>
            <w:tcW w:w="6565" w:type="dxa"/>
          </w:tcPr>
          <w:p w14:paraId="4E8B03BE" w14:textId="77777777" w:rsidR="00984C67" w:rsidRDefault="006C13E3" w:rsidP="0013160D">
            <w:pPr>
              <w:tabs>
                <w:tab w:val="left" w:pos="5136"/>
              </w:tabs>
            </w:pPr>
            <w:r>
              <w:t xml:space="preserve">Incorporated stakeholder feedback </w:t>
            </w:r>
          </w:p>
          <w:p w14:paraId="054295EE" w14:textId="77777777" w:rsidR="008A459F" w:rsidRDefault="008A459F" w:rsidP="0013160D">
            <w:pPr>
              <w:tabs>
                <w:tab w:val="left" w:pos="5136"/>
              </w:tabs>
            </w:pPr>
            <w:r>
              <w:t>Changed the structure for improved readability</w:t>
            </w:r>
          </w:p>
          <w:p w14:paraId="07656964" w14:textId="77777777" w:rsidR="00271FFD" w:rsidRDefault="00271FFD" w:rsidP="0013160D">
            <w:pPr>
              <w:tabs>
                <w:tab w:val="left" w:pos="5136"/>
              </w:tabs>
            </w:pPr>
            <w:r>
              <w:t>Incorporated a section for sites with on-site generation</w:t>
            </w:r>
          </w:p>
          <w:p w14:paraId="7437FDDA" w14:textId="488C8245" w:rsidR="006C13E3" w:rsidRPr="00E9435E" w:rsidRDefault="00271FFD" w:rsidP="0013160D">
            <w:pPr>
              <w:tabs>
                <w:tab w:val="left" w:pos="5136"/>
              </w:tabs>
            </w:pPr>
            <w:r>
              <w:t xml:space="preserve">Deleted example </w:t>
            </w:r>
            <w:r w:rsidR="009B3458">
              <w:t>2 because</w:t>
            </w:r>
            <w:r w:rsidR="00E02CF8">
              <w:t xml:space="preserve"> it was not representing an actual </w:t>
            </w:r>
            <w:r w:rsidR="009B3458">
              <w:t>scenario</w:t>
            </w:r>
            <w:r w:rsidR="00E02CF8">
              <w:t xml:space="preserve"> </w:t>
            </w:r>
          </w:p>
        </w:tc>
      </w:tr>
    </w:tbl>
    <w:p w14:paraId="5E855B2E" w14:textId="5046AFBD" w:rsidR="00977F29" w:rsidRPr="00E9435E" w:rsidRDefault="00977F29" w:rsidP="00DE13AD">
      <w:pPr>
        <w:tabs>
          <w:tab w:val="left" w:pos="5136"/>
        </w:tabs>
        <w:sectPr w:rsidR="00977F29" w:rsidRPr="00E9435E" w:rsidSect="003C288E">
          <w:footerReference w:type="default" r:id="rId16"/>
          <w:pgSz w:w="12240" w:h="15840"/>
          <w:pgMar w:top="1440" w:right="1440" w:bottom="1440" w:left="1440" w:header="720" w:footer="144" w:gutter="0"/>
          <w:pgNumType w:start="1"/>
          <w:cols w:space="720"/>
          <w:docGrid w:linePitch="360"/>
        </w:sectPr>
      </w:pPr>
    </w:p>
    <w:p w14:paraId="3D07D485" w14:textId="35803459" w:rsidR="00B17EC7" w:rsidRPr="00E9435E" w:rsidRDefault="00B17EC7" w:rsidP="00485877">
      <w:pPr>
        <w:pStyle w:val="Heading1"/>
        <w:numPr>
          <w:ilvl w:val="0"/>
          <w:numId w:val="6"/>
        </w:numPr>
      </w:pPr>
      <w:bookmarkStart w:id="5" w:name="_Toc20765352"/>
      <w:bookmarkStart w:id="6" w:name="_Toc23249983"/>
      <w:r w:rsidRPr="00E9435E">
        <w:lastRenderedPageBreak/>
        <w:t>Introduction</w:t>
      </w:r>
      <w:bookmarkEnd w:id="5"/>
      <w:bookmarkEnd w:id="6"/>
    </w:p>
    <w:p w14:paraId="7070BFDD" w14:textId="77777777" w:rsidR="00B17EC7" w:rsidRPr="00E9435E" w:rsidRDefault="00B17EC7" w:rsidP="00B17EC7"/>
    <w:p w14:paraId="307D816A" w14:textId="0675DBD8" w:rsidR="00B17EC7" w:rsidRPr="00E9435E" w:rsidRDefault="004C3031" w:rsidP="00AB2BFB">
      <w:pPr>
        <w:pStyle w:val="Heading2"/>
      </w:pPr>
      <w:bookmarkStart w:id="7" w:name="_Toc20765353"/>
      <w:bookmarkStart w:id="8" w:name="_Toc23249984"/>
      <w:r w:rsidRPr="00E9435E">
        <w:t>Purpose</w:t>
      </w:r>
      <w:bookmarkEnd w:id="7"/>
      <w:bookmarkEnd w:id="8"/>
    </w:p>
    <w:p w14:paraId="3B369BA3" w14:textId="34FE691B" w:rsidR="005D1AB8" w:rsidRPr="00E9435E" w:rsidRDefault="005D1AB8" w:rsidP="00B17EC7">
      <w:pPr>
        <w:rPr>
          <w:color w:val="FF0000"/>
        </w:rPr>
      </w:pPr>
    </w:p>
    <w:p w14:paraId="41721B12" w14:textId="66832C43" w:rsidR="00792618" w:rsidRPr="00E9435E" w:rsidRDefault="6E15CD5F" w:rsidP="00792618">
      <w:r>
        <w:t>On August 1, 2019, California Public Utilities Commission (CPUC) Decision 19-08-009</w:t>
      </w:r>
      <w:r w:rsidRPr="6E15CD5F">
        <w:rPr>
          <w:sz w:val="14"/>
          <w:szCs w:val="14"/>
        </w:rPr>
        <w:t xml:space="preserve"> </w:t>
      </w:r>
      <w:r>
        <w:t>directed CPUC staff to issue technical guidelines for fuel substitution measures, including, but not limited to, guidance on the calculation of source energy savings and environmental offsets for fuel substitution measures.</w:t>
      </w:r>
    </w:p>
    <w:p w14:paraId="51854A5E" w14:textId="77777777" w:rsidR="00792618" w:rsidRPr="00E9435E" w:rsidRDefault="00792618" w:rsidP="00792618"/>
    <w:p w14:paraId="0182E745" w14:textId="530E52AF" w:rsidR="00792618" w:rsidRPr="00E9435E" w:rsidRDefault="6E15CD5F" w:rsidP="00792618">
      <w:r>
        <w:t xml:space="preserve">The purpose of this document is to provide guidance on the methods and procedures used analyze and approve fuel substitution energy efficiency measures supported by the CPUC-authorized energy efficiency (EE) portfolios. This guidance document outlines how users </w:t>
      </w:r>
      <w:r w:rsidR="00C11E6B">
        <w:t xml:space="preserve">must </w:t>
      </w:r>
      <w:r w:rsidR="00951BC3">
        <w:t xml:space="preserve">a) </w:t>
      </w:r>
      <w:r w:rsidR="00C11E6B">
        <w:t>determine</w:t>
      </w:r>
      <w:r>
        <w:t xml:space="preserve"> a fuel substitution measure baseline,</w:t>
      </w:r>
      <w:r w:rsidR="00951BC3">
        <w:t xml:space="preserve"> b)</w:t>
      </w:r>
      <w:r>
        <w:t xml:space="preserve"> prove a fuel substitution measure passes the fuel substitution test,</w:t>
      </w:r>
      <w:r w:rsidR="00951BC3">
        <w:t xml:space="preserve"> c)</w:t>
      </w:r>
      <w:r>
        <w:t xml:space="preserve"> calculate the cost effectiveness of a fuel substitution measure, </w:t>
      </w:r>
      <w:proofErr w:type="gramStart"/>
      <w:r>
        <w:t xml:space="preserve">and </w:t>
      </w:r>
      <w:r w:rsidR="00951BC3">
        <w:t xml:space="preserve"> d</w:t>
      </w:r>
      <w:proofErr w:type="gramEnd"/>
      <w:r w:rsidR="00951BC3">
        <w:t xml:space="preserve">) </w:t>
      </w:r>
      <w:r>
        <w:t>report energy savings and goal reductions.</w:t>
      </w:r>
      <w:r w:rsidR="002D3CAD">
        <w:t xml:space="preserve"> This document is available online on the CPUC’s website</w:t>
      </w:r>
      <w:r w:rsidR="007C06CA">
        <w:rPr>
          <w:rStyle w:val="FootnoteReference"/>
        </w:rPr>
        <w:footnoteReference w:id="2"/>
      </w:r>
      <w:r w:rsidR="002D3CAD">
        <w:t xml:space="preserve"> and may be updated periodically as needed.</w:t>
      </w:r>
    </w:p>
    <w:p w14:paraId="7CD4211D" w14:textId="2B7580EF" w:rsidR="001D7E19" w:rsidRPr="00E9435E" w:rsidRDefault="001D7E19" w:rsidP="00B17EC7"/>
    <w:p w14:paraId="2C678481" w14:textId="657FEC46" w:rsidR="007854AC" w:rsidRPr="00E9435E" w:rsidRDefault="00CE2B1E" w:rsidP="00AB2BFB">
      <w:pPr>
        <w:pStyle w:val="Heading2"/>
      </w:pPr>
      <w:bookmarkStart w:id="10" w:name="_Toc20765354"/>
      <w:bookmarkStart w:id="11" w:name="_Toc23249985"/>
      <w:r w:rsidRPr="00E9435E">
        <w:t xml:space="preserve">CPUC Policy </w:t>
      </w:r>
      <w:r w:rsidR="004C3031" w:rsidRPr="00E9435E">
        <w:t>Background</w:t>
      </w:r>
      <w:bookmarkEnd w:id="10"/>
      <w:bookmarkEnd w:id="11"/>
    </w:p>
    <w:p w14:paraId="2E2B11F5" w14:textId="77777777" w:rsidR="003559AB" w:rsidRPr="00E9435E" w:rsidRDefault="003559AB" w:rsidP="00B17EC7">
      <w:pPr>
        <w:rPr>
          <w:i/>
        </w:rPr>
      </w:pPr>
    </w:p>
    <w:p w14:paraId="6671C664" w14:textId="72930752" w:rsidR="00CD798E" w:rsidRPr="00E9435E" w:rsidRDefault="00CD798E" w:rsidP="0087344F">
      <w:pPr>
        <w:pStyle w:val="ListParagraph"/>
        <w:numPr>
          <w:ilvl w:val="0"/>
          <w:numId w:val="11"/>
        </w:numPr>
      </w:pPr>
      <w:r w:rsidRPr="00E9435E">
        <w:t xml:space="preserve">CPUC Decision </w:t>
      </w:r>
      <w:r w:rsidRPr="6E15CD5F">
        <w:rPr>
          <w:b/>
          <w:bCs/>
        </w:rPr>
        <w:t>19-08-009</w:t>
      </w:r>
      <w:r w:rsidRPr="00E9435E">
        <w:t>:</w:t>
      </w:r>
      <w:r w:rsidRPr="00E9435E">
        <w:rPr>
          <w:rStyle w:val="FootnoteReference"/>
        </w:rPr>
        <w:footnoteReference w:id="3"/>
      </w:r>
      <w:r w:rsidRPr="00E9435E">
        <w:t xml:space="preserve"> D.19-08-009 adopted the </w:t>
      </w:r>
      <w:r>
        <w:t>fu</w:t>
      </w:r>
      <w:r w:rsidRPr="00E9435E">
        <w:t xml:space="preserve">el substitution test and ordered the creation of this </w:t>
      </w:r>
      <w:r w:rsidR="46AFB598">
        <w:t>fuel</w:t>
      </w:r>
      <w:r w:rsidRPr="00E9435E">
        <w:t xml:space="preserve"> </w:t>
      </w:r>
      <w:r w:rsidR="46AFB598">
        <w:t>substitution guidance document.</w:t>
      </w:r>
      <w:r w:rsidRPr="00E9435E">
        <w:t xml:space="preserve"> D.19-08-009 </w:t>
      </w:r>
      <w:r w:rsidR="00951BC3">
        <w:t>provides</w:t>
      </w:r>
      <w:r w:rsidRPr="00E9435E">
        <w:t xml:space="preserve"> direction on the fuel substitution test, fuel substitution </w:t>
      </w:r>
      <w:r>
        <w:t>measure eligibility,</w:t>
      </w:r>
      <w:r w:rsidRPr="00E9435E">
        <w:t xml:space="preserve"> and utility credits for savings claims.  </w:t>
      </w:r>
    </w:p>
    <w:p w14:paraId="35D4CFA2" w14:textId="4037DA63" w:rsidR="00CD798E" w:rsidRDefault="00CD798E" w:rsidP="0087344F">
      <w:pPr>
        <w:pStyle w:val="ListParagraph"/>
        <w:numPr>
          <w:ilvl w:val="0"/>
          <w:numId w:val="11"/>
        </w:numPr>
      </w:pPr>
      <w:r w:rsidRPr="00E9435E">
        <w:t xml:space="preserve">CPUC Decision </w:t>
      </w:r>
      <w:r w:rsidRPr="6E15CD5F">
        <w:rPr>
          <w:b/>
          <w:bCs/>
        </w:rPr>
        <w:t>92-02-075</w:t>
      </w:r>
      <w:r w:rsidRPr="00E9435E">
        <w:t>:</w:t>
      </w:r>
      <w:r w:rsidRPr="00E9435E">
        <w:rPr>
          <w:rStyle w:val="FootnoteReference"/>
        </w:rPr>
        <w:footnoteReference w:id="4"/>
      </w:r>
      <w:r w:rsidRPr="00E9435E">
        <w:t xml:space="preserve"> </w:t>
      </w:r>
      <w:r>
        <w:t xml:space="preserve"> D.92-02-075 established the “three-prong test” which established the original requirements for fuel substitution measures to be eligible for energy efficiency incentives. The three-prong test was designed to avoid encouraging fuel substitution programs with a predominantly </w:t>
      </w:r>
      <w:r w:rsidR="00D40963">
        <w:t>load-</w:t>
      </w:r>
      <w:r>
        <w:t xml:space="preserve">building character. The fuel substitution test </w:t>
      </w:r>
      <w:r w:rsidR="00D40963">
        <w:t xml:space="preserve">replaces </w:t>
      </w:r>
      <w:r>
        <w:t>the three-prong test as the eligibility standard for fuel substitution measures.</w:t>
      </w:r>
    </w:p>
    <w:p w14:paraId="6CD7CFA7" w14:textId="709FD32A" w:rsidR="001C24C5" w:rsidRDefault="001C24C5" w:rsidP="001C24C5"/>
    <w:p w14:paraId="1F28B26F" w14:textId="477D44CD" w:rsidR="001C24C5" w:rsidRDefault="001C24C5" w:rsidP="00AB2BFB">
      <w:pPr>
        <w:pStyle w:val="Heading2"/>
      </w:pPr>
      <w:bookmarkStart w:id="12" w:name="_Toc23249986"/>
      <w:r>
        <w:t>Fuel Substitution Measure Definition</w:t>
      </w:r>
      <w:bookmarkEnd w:id="12"/>
      <w:r>
        <w:t xml:space="preserve"> </w:t>
      </w:r>
    </w:p>
    <w:p w14:paraId="4C1A134C" w14:textId="2F42E725" w:rsidR="001C24C5" w:rsidRDefault="001C24C5" w:rsidP="001C24C5"/>
    <w:p w14:paraId="1A2E4F46" w14:textId="07FA918C" w:rsidR="00234FF2" w:rsidRPr="00E9435E" w:rsidRDefault="3C681AF7" w:rsidP="6E15CD5F">
      <w:pPr>
        <w:rPr>
          <w:rFonts w:asciiTheme="minorHAnsi" w:hAnsiTheme="minorHAnsi"/>
        </w:rPr>
      </w:pPr>
      <w:r w:rsidRPr="3C681AF7">
        <w:rPr>
          <w:rFonts w:asciiTheme="minorHAnsi" w:hAnsiTheme="minorHAnsi"/>
        </w:rPr>
        <w:t>Fuel substitution measures</w:t>
      </w:r>
      <w:r w:rsidR="00D40963">
        <w:rPr>
          <w:rFonts w:asciiTheme="minorHAnsi" w:hAnsiTheme="minorHAnsi"/>
        </w:rPr>
        <w:t>,</w:t>
      </w:r>
      <w:r w:rsidRPr="3C681AF7">
        <w:rPr>
          <w:rFonts w:asciiTheme="minorHAnsi" w:hAnsiTheme="minorHAnsi"/>
        </w:rPr>
        <w:t xml:space="preserve"> in the context of energy efficiency programs</w:t>
      </w:r>
      <w:r w:rsidR="00D40963">
        <w:rPr>
          <w:rFonts w:asciiTheme="minorHAnsi" w:hAnsiTheme="minorHAnsi"/>
        </w:rPr>
        <w:t>,</w:t>
      </w:r>
      <w:r w:rsidRPr="3C681AF7">
        <w:rPr>
          <w:rFonts w:asciiTheme="minorHAnsi" w:hAnsiTheme="minorHAnsi"/>
        </w:rPr>
        <w:t xml:space="preserve"> involve energy efficiency projects where all or a portion of the existing energy use is converted from one fuel to another (i.e., natural gas to electricity or vice versa). Only equipment powered by electricity and/or natural gas fuels and provided by a </w:t>
      </w:r>
      <w:r w:rsidR="00D40963" w:rsidRPr="3C681AF7">
        <w:rPr>
          <w:rFonts w:asciiTheme="minorHAnsi" w:hAnsiTheme="minorHAnsi"/>
        </w:rPr>
        <w:t>CPUC</w:t>
      </w:r>
      <w:r w:rsidR="00D40963">
        <w:rPr>
          <w:rFonts w:asciiTheme="minorHAnsi" w:hAnsiTheme="minorHAnsi"/>
        </w:rPr>
        <w:t>-</w:t>
      </w:r>
      <w:r w:rsidRPr="3C681AF7">
        <w:rPr>
          <w:rFonts w:asciiTheme="minorHAnsi" w:hAnsiTheme="minorHAnsi"/>
        </w:rPr>
        <w:t xml:space="preserve">regulated investor-owned utility or a municipal </w:t>
      </w:r>
      <w:r w:rsidR="00234FF2" w:rsidRPr="6E15CD5F">
        <w:rPr>
          <w:rFonts w:asciiTheme="minorHAnsi" w:hAnsiTheme="minorHAnsi"/>
        </w:rPr>
        <w:t>utility are eligible to participate under fuel substitution measures.</w:t>
      </w:r>
      <w:r w:rsidR="00234FF2" w:rsidRPr="6E15CD5F">
        <w:rPr>
          <w:rStyle w:val="FootnoteReference"/>
          <w:rFonts w:asciiTheme="minorHAnsi" w:hAnsiTheme="minorHAnsi"/>
        </w:rPr>
        <w:footnoteReference w:id="5"/>
      </w:r>
      <w:r w:rsidR="00234FF2" w:rsidRPr="6E15CD5F">
        <w:rPr>
          <w:rFonts w:asciiTheme="minorHAnsi" w:hAnsiTheme="minorHAnsi"/>
        </w:rPr>
        <w:t xml:space="preserve"> </w:t>
      </w:r>
    </w:p>
    <w:p w14:paraId="7B04F3E4" w14:textId="77777777" w:rsidR="001C24C5" w:rsidRPr="00E9435E" w:rsidRDefault="001C24C5" w:rsidP="001C24C5">
      <w:pPr>
        <w:rPr>
          <w:rFonts w:asciiTheme="minorHAnsi" w:hAnsiTheme="minorHAnsi" w:cstheme="minorHAnsi"/>
        </w:rPr>
      </w:pPr>
    </w:p>
    <w:p w14:paraId="080D775B" w14:textId="6FA68674" w:rsidR="001C24C5" w:rsidRDefault="001C24C5" w:rsidP="001C24C5">
      <w:pPr>
        <w:rPr>
          <w:rFonts w:asciiTheme="minorHAnsi" w:hAnsiTheme="minorHAnsi" w:cstheme="minorHAnsi"/>
        </w:rPr>
      </w:pPr>
      <w:r w:rsidRPr="00E9435E">
        <w:rPr>
          <w:rFonts w:asciiTheme="minorHAnsi" w:hAnsiTheme="minorHAnsi" w:cstheme="minorHAnsi"/>
        </w:rPr>
        <w:t>Measures involving non-utility (unregulated) fuels</w:t>
      </w:r>
      <w:r>
        <w:rPr>
          <w:rFonts w:asciiTheme="minorHAnsi" w:hAnsiTheme="minorHAnsi" w:cstheme="minorHAnsi"/>
        </w:rPr>
        <w:t>,</w:t>
      </w:r>
      <w:r w:rsidRPr="00E9435E">
        <w:rPr>
          <w:rFonts w:asciiTheme="minorHAnsi" w:hAnsiTheme="minorHAnsi" w:cstheme="minorHAnsi"/>
        </w:rPr>
        <w:t xml:space="preserve"> such as propane or fuel oil</w:t>
      </w:r>
      <w:r>
        <w:rPr>
          <w:rFonts w:asciiTheme="minorHAnsi" w:hAnsiTheme="minorHAnsi" w:cstheme="minorHAnsi"/>
        </w:rPr>
        <w:t>,</w:t>
      </w:r>
      <w:r w:rsidRPr="00E9435E">
        <w:rPr>
          <w:rFonts w:asciiTheme="minorHAnsi" w:hAnsiTheme="minorHAnsi" w:cstheme="minorHAnsi"/>
        </w:rPr>
        <w:t xml:space="preserve"> are termed as fuel switching measures. </w:t>
      </w:r>
      <w:r>
        <w:rPr>
          <w:rFonts w:asciiTheme="minorHAnsi" w:hAnsiTheme="minorHAnsi" w:cstheme="minorHAnsi"/>
        </w:rPr>
        <w:t>Fuel switching</w:t>
      </w:r>
      <w:r w:rsidRPr="00E9435E">
        <w:rPr>
          <w:rFonts w:asciiTheme="minorHAnsi" w:hAnsiTheme="minorHAnsi" w:cstheme="minorHAnsi"/>
        </w:rPr>
        <w:t xml:space="preserve"> measures are outside the scope of the Fuel Substitution Decision (D.19-08-009)</w:t>
      </w:r>
      <w:r w:rsidRPr="00E9435E">
        <w:rPr>
          <w:rStyle w:val="FootnoteReference"/>
          <w:rFonts w:asciiTheme="minorHAnsi" w:hAnsiTheme="minorHAnsi" w:cstheme="minorHAnsi"/>
        </w:rPr>
        <w:footnoteReference w:id="6"/>
      </w:r>
      <w:r w:rsidRPr="00E9435E">
        <w:rPr>
          <w:rFonts w:asciiTheme="minorHAnsi" w:hAnsiTheme="minorHAnsi" w:cstheme="minorHAnsi"/>
        </w:rPr>
        <w:t xml:space="preserve"> and hence, are not considered in this technical guidance. </w:t>
      </w:r>
    </w:p>
    <w:p w14:paraId="0B3BE4A5" w14:textId="654CFB89" w:rsidR="00F01FA9" w:rsidRDefault="00F01FA9" w:rsidP="001C24C5">
      <w:pPr>
        <w:rPr>
          <w:rFonts w:asciiTheme="minorHAnsi" w:hAnsiTheme="minorHAnsi" w:cstheme="minorHAnsi"/>
        </w:rPr>
      </w:pPr>
    </w:p>
    <w:p w14:paraId="085B1BE3" w14:textId="489B6544" w:rsidR="00E1340B" w:rsidRDefault="00E1340B" w:rsidP="001C24C5">
      <w:pPr>
        <w:rPr>
          <w:rFonts w:asciiTheme="minorHAnsi" w:hAnsiTheme="minorHAnsi"/>
        </w:rPr>
      </w:pPr>
    </w:p>
    <w:p w14:paraId="17E74D08" w14:textId="756D5BEE" w:rsidR="00F01FA9" w:rsidRPr="00E9435E" w:rsidRDefault="00F01FA9" w:rsidP="00AB2BFB">
      <w:pPr>
        <w:pStyle w:val="Heading2"/>
      </w:pPr>
      <w:bookmarkStart w:id="13" w:name="_Toc23249987"/>
      <w:r w:rsidRPr="00E9435E">
        <w:t xml:space="preserve">Fuel Substitution </w:t>
      </w:r>
      <w:r>
        <w:t>Criteria</w:t>
      </w:r>
      <w:bookmarkEnd w:id="13"/>
      <w:r>
        <w:t xml:space="preserve"> </w:t>
      </w:r>
    </w:p>
    <w:p w14:paraId="1F82EE85" w14:textId="77777777" w:rsidR="00F01FA9" w:rsidRPr="00E9435E" w:rsidRDefault="00F01FA9" w:rsidP="00F01FA9"/>
    <w:p w14:paraId="02DEB920" w14:textId="5E6E902A" w:rsidR="00603016" w:rsidRPr="008510FC" w:rsidRDefault="50E3BC3B" w:rsidP="008510FC">
      <w:pPr>
        <w:pStyle w:val="Body1"/>
      </w:pPr>
      <w:r w:rsidRPr="008510FC">
        <w:t xml:space="preserve"> </w:t>
      </w:r>
      <w:r w:rsidR="00603016" w:rsidRPr="008510FC">
        <w:t>D.19-08-009</w:t>
      </w:r>
      <w:r w:rsidRPr="008510FC">
        <w:t xml:space="preserve"> stated that</w:t>
      </w:r>
      <w:r w:rsidR="00603016" w:rsidRPr="008510FC">
        <w:t xml:space="preserve"> fuel substitution </w:t>
      </w:r>
      <w:r w:rsidRPr="008510FC">
        <w:t xml:space="preserve">measures must pass the </w:t>
      </w:r>
      <w:r w:rsidR="63945083" w:rsidRPr="008510FC">
        <w:t>fuel substitution test</w:t>
      </w:r>
      <w:r w:rsidR="00603016" w:rsidRPr="008510FC">
        <w:t xml:space="preserve"> to be eligible for energy efficiency </w:t>
      </w:r>
      <w:r w:rsidRPr="008510FC">
        <w:t xml:space="preserve">incentives. The </w:t>
      </w:r>
      <w:r w:rsidR="63945083" w:rsidRPr="008510FC">
        <w:t>fuel</w:t>
      </w:r>
      <w:r w:rsidRPr="008510FC">
        <w:t xml:space="preserve"> </w:t>
      </w:r>
      <w:r w:rsidR="00A621D6" w:rsidRPr="008510FC">
        <w:t>s</w:t>
      </w:r>
      <w:r w:rsidRPr="008510FC">
        <w:t xml:space="preserve">ubstitution </w:t>
      </w:r>
      <w:r w:rsidR="00A621D6" w:rsidRPr="008510FC">
        <w:t>t</w:t>
      </w:r>
      <w:r w:rsidRPr="008510FC">
        <w:t>est has two components:</w:t>
      </w:r>
    </w:p>
    <w:p w14:paraId="3570A57E" w14:textId="283D922F" w:rsidR="00603016" w:rsidRPr="00E9435E" w:rsidRDefault="00603016" w:rsidP="0087344F">
      <w:pPr>
        <w:pStyle w:val="ListParagraph"/>
        <w:numPr>
          <w:ilvl w:val="0"/>
          <w:numId w:val="12"/>
        </w:numPr>
      </w:pPr>
      <w:r>
        <w:t xml:space="preserve">The measure </w:t>
      </w:r>
      <w:r w:rsidR="00951BC3">
        <w:t>must</w:t>
      </w:r>
      <w:r>
        <w:t xml:space="preserve"> not increase </w:t>
      </w:r>
      <w:r w:rsidR="00951BC3">
        <w:t xml:space="preserve">total </w:t>
      </w:r>
      <w:r>
        <w:t>s</w:t>
      </w:r>
      <w:r w:rsidRPr="00E9435E">
        <w:t xml:space="preserve">ource </w:t>
      </w:r>
      <w:r>
        <w:t>e</w:t>
      </w:r>
      <w:r w:rsidRPr="00E9435E">
        <w:t xml:space="preserve">nergy </w:t>
      </w:r>
    </w:p>
    <w:p w14:paraId="3D899457" w14:textId="09B1429A" w:rsidR="00603016" w:rsidRPr="00E9435E" w:rsidRDefault="00603016" w:rsidP="0087344F">
      <w:pPr>
        <w:pStyle w:val="ListParagraph"/>
        <w:numPr>
          <w:ilvl w:val="0"/>
          <w:numId w:val="12"/>
        </w:numPr>
      </w:pPr>
      <w:r>
        <w:t xml:space="preserve">The measure </w:t>
      </w:r>
      <w:r w:rsidR="00951BC3">
        <w:t>must</w:t>
      </w:r>
      <w:r>
        <w:t xml:space="preserve"> not </w:t>
      </w:r>
      <w:r w:rsidR="00951BC3">
        <w:t>adversely impact</w:t>
      </w:r>
      <w:r>
        <w:t xml:space="preserve"> the environment </w:t>
      </w:r>
    </w:p>
    <w:p w14:paraId="620C959C" w14:textId="77777777" w:rsidR="00603016" w:rsidRPr="00E9435E" w:rsidRDefault="00603016" w:rsidP="00603016"/>
    <w:p w14:paraId="17D470DE" w14:textId="6BC5B9CC" w:rsidR="00603016" w:rsidRPr="002E31AE" w:rsidRDefault="00603016" w:rsidP="008510FC">
      <w:pPr>
        <w:pStyle w:val="Body1"/>
      </w:pPr>
      <w:r w:rsidRPr="002E31AE">
        <w:t xml:space="preserve">The above requirements are hereinafter referred to as </w:t>
      </w:r>
      <w:r w:rsidR="0008474D" w:rsidRPr="002E31AE">
        <w:t>Part One</w:t>
      </w:r>
      <w:r w:rsidR="50E3BC3B" w:rsidRPr="002E31AE">
        <w:t xml:space="preserve"> and </w:t>
      </w:r>
      <w:r w:rsidR="0008474D" w:rsidRPr="002E31AE">
        <w:t>Part Two</w:t>
      </w:r>
      <w:r w:rsidRPr="002E31AE">
        <w:t xml:space="preserve"> of the fuel substitution test. The fuel substitution test no longer requires individual measures to pass a cost effectiveness threshold</w:t>
      </w:r>
      <w:r w:rsidR="185BB5F4" w:rsidRPr="002E31AE">
        <w:t xml:space="preserve">, </w:t>
      </w:r>
      <w:r w:rsidRPr="002E31AE">
        <w:t>as previously required in the three-prong test</w:t>
      </w:r>
      <w:r w:rsidR="185BB5F4" w:rsidRPr="002E31AE">
        <w:t>.</w:t>
      </w:r>
      <w:r w:rsidRPr="002E31AE">
        <w:t xml:space="preserve"> Instead, fuel substitution measures are treated </w:t>
      </w:r>
      <w:r w:rsidR="2FFDFBC2" w:rsidRPr="002E31AE">
        <w:t>the same as</w:t>
      </w:r>
      <w:r w:rsidRPr="002E31AE">
        <w:t xml:space="preserve"> other energy efficiency measures wherein cost-effectiveness is assessed at the portfolio level (i.e., Total Resource Cost test).</w:t>
      </w:r>
    </w:p>
    <w:p w14:paraId="4143AE10" w14:textId="77777777" w:rsidR="00F01FA9" w:rsidRDefault="00F01FA9" w:rsidP="001C24C5">
      <w:pPr>
        <w:rPr>
          <w:rFonts w:asciiTheme="minorHAnsi" w:hAnsiTheme="minorHAnsi" w:cstheme="minorHAnsi"/>
        </w:rPr>
      </w:pPr>
    </w:p>
    <w:p w14:paraId="2AD50290" w14:textId="48041C03" w:rsidR="00B17EC7" w:rsidRPr="00E9435E" w:rsidRDefault="00B17EC7" w:rsidP="00AB2BFB">
      <w:pPr>
        <w:pStyle w:val="Heading2"/>
      </w:pPr>
      <w:bookmarkStart w:id="14" w:name="_Toc20765355"/>
      <w:bookmarkStart w:id="15" w:name="_Toc23249988"/>
      <w:r w:rsidRPr="00E9435E">
        <w:t>Audience</w:t>
      </w:r>
      <w:bookmarkEnd w:id="14"/>
      <w:bookmarkEnd w:id="15"/>
    </w:p>
    <w:p w14:paraId="71FAD05C" w14:textId="17A30C95" w:rsidR="00B17EC7" w:rsidRPr="00E9435E" w:rsidRDefault="00B17EC7" w:rsidP="00B17EC7"/>
    <w:p w14:paraId="2B9D6402" w14:textId="05B9BA9D" w:rsidR="000972E0" w:rsidRPr="00E9435E" w:rsidRDefault="000972E0" w:rsidP="000972E0">
      <w:pPr>
        <w:rPr>
          <w:i/>
          <w:color w:val="F79646" w:themeColor="accent6"/>
        </w:rPr>
      </w:pPr>
      <w:r w:rsidRPr="00E9435E">
        <w:t xml:space="preserve">The audience for this document is stakeholders involved with fuel substitution measures supported under the CPUC-authorized energy efficiency (EE) portfolios, </w:t>
      </w:r>
      <w:r>
        <w:t>including but not limited to</w:t>
      </w:r>
      <w:r w:rsidRPr="00E9435E">
        <w:t xml:space="preserve"> investor-owned utilities, program implementers, end users, product manufacturers, </w:t>
      </w:r>
      <w:r>
        <w:t>CPUC</w:t>
      </w:r>
      <w:r w:rsidRPr="00E9435E">
        <w:t xml:space="preserve">, </w:t>
      </w:r>
      <w:r>
        <w:t xml:space="preserve">and other indirectly affected stakeholders including </w:t>
      </w:r>
      <w:r w:rsidRPr="007E4843">
        <w:t>N</w:t>
      </w:r>
      <w:r w:rsidR="002E31AE">
        <w:t xml:space="preserve">ational </w:t>
      </w:r>
      <w:proofErr w:type="spellStart"/>
      <w:r w:rsidR="002E31AE">
        <w:t>Resoruce</w:t>
      </w:r>
      <w:proofErr w:type="spellEnd"/>
      <w:r w:rsidR="002E31AE">
        <w:t xml:space="preserve"> </w:t>
      </w:r>
      <w:proofErr w:type="spellStart"/>
      <w:r w:rsidR="002E31AE">
        <w:t>Defence</w:t>
      </w:r>
      <w:proofErr w:type="spellEnd"/>
      <w:r w:rsidR="002E31AE">
        <w:t xml:space="preserve"> Council</w:t>
      </w:r>
      <w:r w:rsidRPr="007E4843">
        <w:t xml:space="preserve"> Building </w:t>
      </w:r>
      <w:r>
        <w:t xml:space="preserve">Decarbonization, </w:t>
      </w:r>
      <w:r w:rsidR="002E31AE">
        <w:t>publicly-owned utilities</w:t>
      </w:r>
      <w:r w:rsidRPr="007E4843">
        <w:t xml:space="preserve">, environmental groups, </w:t>
      </w:r>
      <w:r>
        <w:t xml:space="preserve">and </w:t>
      </w:r>
      <w:r w:rsidR="002E31AE">
        <w:t>community choice aggregation (CCAs)</w:t>
      </w:r>
      <w:r w:rsidRPr="00E9435E">
        <w:t xml:space="preserve">. </w:t>
      </w:r>
    </w:p>
    <w:p w14:paraId="2FA9C91A" w14:textId="77777777" w:rsidR="001C1F3A" w:rsidRDefault="001C1F3A" w:rsidP="00B17EC7"/>
    <w:p w14:paraId="2A2E7FBE" w14:textId="0F1D6B89" w:rsidR="00315409" w:rsidRPr="00E9435E" w:rsidRDefault="00315409" w:rsidP="00AB2BFB">
      <w:pPr>
        <w:pStyle w:val="Heading2"/>
      </w:pPr>
      <w:bookmarkStart w:id="16" w:name="_Toc23249989"/>
      <w:r>
        <w:t>Key Terminology</w:t>
      </w:r>
      <w:bookmarkEnd w:id="16"/>
    </w:p>
    <w:p w14:paraId="13F40E17" w14:textId="2EF6322F" w:rsidR="72E5109D" w:rsidRPr="00D10656" w:rsidRDefault="72E5109D">
      <w:pPr>
        <w:rPr>
          <w:highlight w:val="yellow"/>
        </w:rPr>
      </w:pPr>
    </w:p>
    <w:p w14:paraId="6BB2C8DA" w14:textId="571F0619" w:rsidR="6DFAD4FD" w:rsidRPr="00D10656" w:rsidRDefault="6A6A0441">
      <w:pPr>
        <w:rPr>
          <w:highlight w:val="yellow"/>
        </w:rPr>
      </w:pPr>
      <w:r>
        <w:t>The following section defines ke</w:t>
      </w:r>
      <w:r w:rsidR="742B8BE3">
        <w:t>y terms used in the fuel sub</w:t>
      </w:r>
      <w:r w:rsidR="7AC4BA53">
        <w:t>stitution guidance document. For a f</w:t>
      </w:r>
      <w:r w:rsidR="475FBF54">
        <w:t>ull glossary of terms, s</w:t>
      </w:r>
      <w:r w:rsidR="22DEC667">
        <w:t>ee Appendix C.</w:t>
      </w:r>
    </w:p>
    <w:p w14:paraId="18EE35D4" w14:textId="4B5F1EB9" w:rsidR="002377C1" w:rsidRDefault="002377C1" w:rsidP="002377C1"/>
    <w:p w14:paraId="127B7BAD" w14:textId="0D4B4D11" w:rsidR="00646C65" w:rsidRPr="00D10656" w:rsidRDefault="00646C65">
      <w:pPr>
        <w:rPr>
          <w:rFonts w:asciiTheme="minorHAnsi" w:hAnsiTheme="minorHAnsi"/>
        </w:rPr>
      </w:pPr>
      <w:r w:rsidRPr="00D10656">
        <w:rPr>
          <w:b/>
        </w:rPr>
        <w:t xml:space="preserve">Original </w:t>
      </w:r>
      <w:r w:rsidR="22795896" w:rsidRPr="00D10656">
        <w:rPr>
          <w:b/>
        </w:rPr>
        <w:t>F</w:t>
      </w:r>
      <w:r w:rsidRPr="00D10656">
        <w:rPr>
          <w:b/>
        </w:rPr>
        <w:t>uel</w:t>
      </w:r>
      <w:r w:rsidR="22795896">
        <w:t xml:space="preserve">: </w:t>
      </w:r>
      <w:r w:rsidR="00A64AD6">
        <w:t>The</w:t>
      </w:r>
      <w:r>
        <w:t xml:space="preserve"> </w:t>
      </w:r>
      <w:r w:rsidR="00A34392">
        <w:rPr>
          <w:rFonts w:asciiTheme="minorHAnsi" w:hAnsiTheme="minorHAnsi"/>
        </w:rPr>
        <w:t>f</w:t>
      </w:r>
      <w:r>
        <w:rPr>
          <w:rFonts w:asciiTheme="minorHAnsi" w:hAnsiTheme="minorHAnsi"/>
        </w:rPr>
        <w:t>uel that</w:t>
      </w:r>
      <w:r w:rsidRPr="18B38579">
        <w:rPr>
          <w:rFonts w:asciiTheme="minorHAnsi" w:hAnsiTheme="minorHAnsi"/>
        </w:rPr>
        <w:t xml:space="preserve"> was being utilized prior to the fuel substitution measure</w:t>
      </w:r>
      <w:r w:rsidR="4D5671DA" w:rsidRPr="20F5DFBB">
        <w:rPr>
          <w:rFonts w:asciiTheme="minorHAnsi" w:hAnsiTheme="minorHAnsi"/>
        </w:rPr>
        <w:t>.</w:t>
      </w:r>
    </w:p>
    <w:p w14:paraId="7DF48684" w14:textId="77777777" w:rsidR="0D500297" w:rsidRPr="00D10656" w:rsidRDefault="0D500297">
      <w:pPr>
        <w:rPr>
          <w:rFonts w:asciiTheme="minorHAnsi" w:hAnsiTheme="minorHAnsi"/>
        </w:rPr>
      </w:pPr>
    </w:p>
    <w:p w14:paraId="025498C7" w14:textId="3E0C0AB4" w:rsidR="00A64AD6" w:rsidRPr="00950A66" w:rsidRDefault="00A64AD6">
      <w:pPr>
        <w:rPr>
          <w:rFonts w:asciiTheme="minorHAnsi" w:hAnsiTheme="minorHAnsi"/>
        </w:rPr>
      </w:pPr>
      <w:r w:rsidRPr="00D10656">
        <w:rPr>
          <w:rFonts w:asciiTheme="minorHAnsi" w:hAnsiTheme="minorHAnsi"/>
          <w:b/>
        </w:rPr>
        <w:t>New Fuel</w:t>
      </w:r>
      <w:r w:rsidR="7259A20D" w:rsidRPr="00D10656">
        <w:rPr>
          <w:rFonts w:asciiTheme="minorHAnsi" w:hAnsiTheme="minorHAnsi"/>
          <w:b/>
          <w:bCs/>
        </w:rPr>
        <w:t>:</w:t>
      </w:r>
      <w:r>
        <w:rPr>
          <w:rFonts w:asciiTheme="minorHAnsi" w:hAnsiTheme="minorHAnsi"/>
        </w:rPr>
        <w:t xml:space="preserve"> The </w:t>
      </w:r>
      <w:r w:rsidR="00A34392">
        <w:rPr>
          <w:rFonts w:asciiTheme="minorHAnsi" w:hAnsiTheme="minorHAnsi"/>
        </w:rPr>
        <w:t xml:space="preserve">fuel that replaces </w:t>
      </w:r>
      <w:r w:rsidR="00B3585A">
        <w:rPr>
          <w:rFonts w:asciiTheme="minorHAnsi" w:hAnsiTheme="minorHAnsi"/>
        </w:rPr>
        <w:t xml:space="preserve">the original fuel </w:t>
      </w:r>
      <w:r w:rsidR="4D5671DA" w:rsidRPr="2A37A7C4">
        <w:rPr>
          <w:rFonts w:asciiTheme="minorHAnsi" w:hAnsiTheme="minorHAnsi"/>
        </w:rPr>
        <w:t>a</w:t>
      </w:r>
      <w:r w:rsidR="2A37A7C4" w:rsidRPr="2A37A7C4">
        <w:rPr>
          <w:rFonts w:asciiTheme="minorHAnsi" w:hAnsiTheme="minorHAnsi"/>
        </w:rPr>
        <w:t>s a result of the fuel substitution mea</w:t>
      </w:r>
      <w:r w:rsidR="41879708" w:rsidRPr="2A37A7C4">
        <w:rPr>
          <w:rFonts w:asciiTheme="minorHAnsi" w:hAnsiTheme="minorHAnsi"/>
        </w:rPr>
        <w:t>sure.</w:t>
      </w:r>
    </w:p>
    <w:p w14:paraId="01089456" w14:textId="541006FC" w:rsidR="0D500297" w:rsidRPr="00D10656" w:rsidRDefault="0D500297">
      <w:pPr>
        <w:rPr>
          <w:rFonts w:asciiTheme="minorHAnsi" w:hAnsiTheme="minorHAnsi"/>
        </w:rPr>
      </w:pPr>
    </w:p>
    <w:p w14:paraId="233C610E" w14:textId="35DD5372" w:rsidR="61F32DF8" w:rsidRDefault="002377C1">
      <w:r w:rsidRPr="00D10656">
        <w:rPr>
          <w:b/>
        </w:rPr>
        <w:t xml:space="preserve">Source </w:t>
      </w:r>
      <w:r w:rsidR="6166B81B" w:rsidRPr="00D10656">
        <w:rPr>
          <w:b/>
          <w:bCs/>
        </w:rPr>
        <w:t>E</w:t>
      </w:r>
      <w:r w:rsidRPr="00D10656">
        <w:rPr>
          <w:b/>
          <w:bCs/>
        </w:rPr>
        <w:t>nergy</w:t>
      </w:r>
      <w:r w:rsidR="6166B81B" w:rsidRPr="00D10656">
        <w:rPr>
          <w:b/>
          <w:bCs/>
        </w:rPr>
        <w:t>:</w:t>
      </w:r>
      <w:r>
        <w:t xml:space="preserve"> </w:t>
      </w:r>
      <w:r w:rsidR="6166B81B">
        <w:t xml:space="preserve"> </w:t>
      </w:r>
      <w:r w:rsidR="00755E96" w:rsidRPr="00D10656">
        <w:rPr>
          <w:rFonts w:eastAsiaTheme="minorEastAsia"/>
        </w:rPr>
        <w:t>All</w:t>
      </w:r>
      <w:r w:rsidR="004C0778" w:rsidRPr="00D10656">
        <w:rPr>
          <w:rFonts w:eastAsiaTheme="minorEastAsia"/>
        </w:rPr>
        <w:t xml:space="preserve"> the depletable energy used upstream to generate and deliver </w:t>
      </w:r>
      <w:r w:rsidR="001C3E36" w:rsidRPr="00D10656">
        <w:rPr>
          <w:rFonts w:eastAsiaTheme="minorEastAsia"/>
        </w:rPr>
        <w:t>the energy at the site</w:t>
      </w:r>
      <w:r w:rsidR="004C0778" w:rsidRPr="00D10656">
        <w:rPr>
          <w:rFonts w:eastAsiaTheme="minorEastAsia"/>
        </w:rPr>
        <w:t xml:space="preserve">. </w:t>
      </w:r>
      <w:r w:rsidR="004A5441" w:rsidRPr="00D10656">
        <w:rPr>
          <w:rFonts w:eastAsiaTheme="minorEastAsia"/>
        </w:rPr>
        <w:t>Only the source energy from depletable fossil-fuel resources such as natural gas and coal are considered.  The source energy from non-depletable</w:t>
      </w:r>
      <w:r w:rsidR="00CC2440">
        <w:rPr>
          <w:rFonts w:eastAsiaTheme="minorEastAsia"/>
        </w:rPr>
        <w:t xml:space="preserve"> (i.e. renewable energy)</w:t>
      </w:r>
      <w:r w:rsidR="004A5441" w:rsidRPr="00D10656">
        <w:rPr>
          <w:rFonts w:eastAsiaTheme="minorEastAsia"/>
        </w:rPr>
        <w:t xml:space="preserve"> sources such as solar, wind, </w:t>
      </w:r>
      <w:r w:rsidR="00D10656">
        <w:rPr>
          <w:rFonts w:eastAsiaTheme="minorEastAsia"/>
        </w:rPr>
        <w:t xml:space="preserve">and </w:t>
      </w:r>
      <w:r w:rsidR="004A5441" w:rsidRPr="00D10656">
        <w:rPr>
          <w:rFonts w:eastAsiaTheme="minorEastAsia"/>
        </w:rPr>
        <w:t xml:space="preserve">hydro-electric </w:t>
      </w:r>
      <w:r w:rsidR="0088002E">
        <w:rPr>
          <w:rFonts w:eastAsiaTheme="minorEastAsia"/>
        </w:rPr>
        <w:t>is</w:t>
      </w:r>
      <w:r w:rsidR="0088002E" w:rsidRPr="00D10656">
        <w:rPr>
          <w:rFonts w:eastAsiaTheme="minorEastAsia"/>
        </w:rPr>
        <w:t xml:space="preserve"> </w:t>
      </w:r>
      <w:r w:rsidR="004A5441" w:rsidRPr="00D10656">
        <w:rPr>
          <w:rFonts w:eastAsiaTheme="minorEastAsia"/>
        </w:rPr>
        <w:t xml:space="preserve">considered </w:t>
      </w:r>
      <w:r w:rsidR="0088002E">
        <w:rPr>
          <w:rFonts w:eastAsiaTheme="minorEastAsia"/>
        </w:rPr>
        <w:t xml:space="preserve">as </w:t>
      </w:r>
      <w:r w:rsidR="004A5441" w:rsidRPr="00D10656">
        <w:rPr>
          <w:rFonts w:eastAsiaTheme="minorEastAsia"/>
        </w:rPr>
        <w:t>zero</w:t>
      </w:r>
      <w:r w:rsidR="0088002E">
        <w:rPr>
          <w:rFonts w:eastAsiaTheme="minorEastAsia"/>
        </w:rPr>
        <w:t xml:space="preserve"> BTUs</w:t>
      </w:r>
      <w:r w:rsidR="004A5441" w:rsidRPr="00D10656">
        <w:rPr>
          <w:rFonts w:eastAsiaTheme="minorEastAsia"/>
        </w:rPr>
        <w:t xml:space="preserve">. Please refer to Appendix A for details. </w:t>
      </w:r>
    </w:p>
    <w:p w14:paraId="4D9693F1" w14:textId="1FB47CC2" w:rsidR="0D500297" w:rsidRPr="00D10656" w:rsidRDefault="0D500297">
      <w:pPr>
        <w:rPr>
          <w:rFonts w:eastAsiaTheme="minorEastAsia"/>
        </w:rPr>
      </w:pPr>
    </w:p>
    <w:p w14:paraId="26CCBEA7" w14:textId="18F3F210" w:rsidR="002377C1" w:rsidRDefault="18C5EFB0">
      <w:r w:rsidRPr="00D10656">
        <w:rPr>
          <w:b/>
          <w:bCs/>
        </w:rPr>
        <w:lastRenderedPageBreak/>
        <w:t>Site Energy Consumption</w:t>
      </w:r>
      <w:r>
        <w:t xml:space="preserve">: </w:t>
      </w:r>
      <w:r w:rsidR="00E106AD">
        <w:t>Energy consumed at the site</w:t>
      </w:r>
      <w:r w:rsidR="6FDA3A8C">
        <w:t xml:space="preserve"> of the fuel subst</w:t>
      </w:r>
      <w:r w:rsidR="13AD54CD">
        <w:t>itution measure installation, such a</w:t>
      </w:r>
      <w:r w:rsidR="540091B8">
        <w:t>s a home or business</w:t>
      </w:r>
    </w:p>
    <w:p w14:paraId="3BA7EA56" w14:textId="4BF5B2A4" w:rsidR="002377C1" w:rsidRDefault="0049323B">
      <w:r>
        <w:t>.</w:t>
      </w:r>
      <w:r w:rsidR="007A4F1C">
        <w:t xml:space="preserve"> </w:t>
      </w:r>
    </w:p>
    <w:p w14:paraId="3C4CCD5C" w14:textId="7291E146" w:rsidR="00BF3F4F" w:rsidRPr="00BF3F4F" w:rsidRDefault="73318F70" w:rsidP="00BF3F4F">
      <w:r w:rsidRPr="00D10656">
        <w:rPr>
          <w:b/>
          <w:bCs/>
        </w:rPr>
        <w:t>Site Energy Savings:</w:t>
      </w:r>
      <w:r w:rsidR="00B84499">
        <w:t xml:space="preserve"> </w:t>
      </w:r>
      <w:r w:rsidR="00DD4AC2" w:rsidRPr="00E9435E">
        <w:t xml:space="preserve">Energy savings evaluated at the “site” level </w:t>
      </w:r>
      <w:r w:rsidR="12C8D473" w:rsidRPr="00E9435E">
        <w:t>w</w:t>
      </w:r>
      <w:r w:rsidR="6BEC45E2" w:rsidRPr="73318F70">
        <w:t xml:space="preserve">hich includes the net </w:t>
      </w:r>
      <w:r w:rsidR="5786AA86" w:rsidRPr="5786AA86">
        <w:t>savings from the displaced or</w:t>
      </w:r>
      <w:r w:rsidR="12C8D473" w:rsidRPr="5786AA86">
        <w:t>i</w:t>
      </w:r>
      <w:r w:rsidR="5786AA86" w:rsidRPr="5786AA86">
        <w:t>ginal fuel usage and the increased new fuel usage.</w:t>
      </w:r>
    </w:p>
    <w:p w14:paraId="1CDBBD18" w14:textId="723C6316" w:rsidR="0D500297" w:rsidRDefault="0D500297"/>
    <w:p w14:paraId="62EF99D0" w14:textId="7D65F8E4" w:rsidR="002377C1" w:rsidRPr="00D10656" w:rsidRDefault="002377C1">
      <w:pPr>
        <w:rPr>
          <w:highlight w:val="yellow"/>
        </w:rPr>
      </w:pPr>
      <w:r w:rsidRPr="00D10656">
        <w:rPr>
          <w:b/>
          <w:bCs/>
        </w:rPr>
        <w:t xml:space="preserve">Full Energy </w:t>
      </w:r>
      <w:r w:rsidR="1A8FB9B2" w:rsidRPr="00D10656">
        <w:rPr>
          <w:b/>
          <w:bCs/>
        </w:rPr>
        <w:t>Savings</w:t>
      </w:r>
      <w:r w:rsidR="2A3FD1A5" w:rsidRPr="00D10656">
        <w:rPr>
          <w:b/>
          <w:bCs/>
        </w:rPr>
        <w:t>:</w:t>
      </w:r>
      <w:r w:rsidR="2A3FD1A5" w:rsidRPr="3F96C877">
        <w:t xml:space="preserve"> </w:t>
      </w:r>
      <w:r w:rsidR="651E75E6" w:rsidRPr="651E75E6">
        <w:t>The increase or decrease in site energy usage reported by the investor</w:t>
      </w:r>
      <w:r w:rsidR="077B7E8D" w:rsidRPr="3F96C877">
        <w:t>-</w:t>
      </w:r>
      <w:r w:rsidR="651E75E6" w:rsidRPr="651E75E6">
        <w:t>owned ut</w:t>
      </w:r>
      <w:r w:rsidR="1A4D854A" w:rsidRPr="1A4D854A">
        <w:t>ility after converting the</w:t>
      </w:r>
      <w:r w:rsidR="651E75E6" w:rsidRPr="3F96C877">
        <w:t xml:space="preserve"> </w:t>
      </w:r>
      <w:r w:rsidR="1A4D854A" w:rsidRPr="1A4D854A">
        <w:t>change in energy into new fuel units as p</w:t>
      </w:r>
      <w:r w:rsidR="077B7E8D" w:rsidRPr="1A4D854A">
        <w:t>re</w:t>
      </w:r>
      <w:r w:rsidR="1A4D854A" w:rsidRPr="1A4D854A">
        <w:t xml:space="preserve">scribed by </w:t>
      </w:r>
      <w:r w:rsidR="077B7E8D">
        <w:t>D.19-08-009.</w:t>
      </w:r>
      <w:r w:rsidR="00D81706">
        <w:rPr>
          <w:rStyle w:val="FootnoteReference"/>
        </w:rPr>
        <w:footnoteReference w:id="7"/>
      </w:r>
      <w:r w:rsidR="0932C85D">
        <w:t>The full energy savings value is used in uti</w:t>
      </w:r>
      <w:r w:rsidR="3F96C877">
        <w:t>lity reporting, and not used to calculate cost effectiveness.</w:t>
      </w:r>
    </w:p>
    <w:p w14:paraId="09103440" w14:textId="769DB598" w:rsidR="6446DB2D" w:rsidRDefault="6446DB2D"/>
    <w:p w14:paraId="43678C96" w14:textId="45533328" w:rsidR="00EC2491" w:rsidRPr="00E9435E" w:rsidRDefault="0049323B" w:rsidP="0D500297">
      <w:r w:rsidRPr="00D10656">
        <w:rPr>
          <w:b/>
        </w:rPr>
        <w:t xml:space="preserve">New </w:t>
      </w:r>
      <w:r w:rsidR="003B38BA">
        <w:rPr>
          <w:b/>
        </w:rPr>
        <w:t xml:space="preserve">Energy </w:t>
      </w:r>
      <w:r w:rsidRPr="00D10656">
        <w:rPr>
          <w:b/>
        </w:rPr>
        <w:t>Service</w:t>
      </w:r>
      <w:r w:rsidR="047AE99E" w:rsidRPr="00D10656">
        <w:rPr>
          <w:b/>
          <w:bCs/>
        </w:rPr>
        <w:t xml:space="preserve">: </w:t>
      </w:r>
      <w:r w:rsidR="004923DD" w:rsidRPr="35005123">
        <w:t xml:space="preserve"> </w:t>
      </w:r>
      <w:r w:rsidR="004923DD">
        <w:t>Serving loads in the existing building that were not served before</w:t>
      </w:r>
      <w:r w:rsidR="5E3961C4">
        <w:t>, such as the addition of an air conditioning system which did not exist prior to the fuel</w:t>
      </w:r>
      <w:r w:rsidR="0D500297">
        <w:t xml:space="preserve"> substitution measure.</w:t>
      </w:r>
    </w:p>
    <w:p w14:paraId="4946A7E1" w14:textId="33B23EAD" w:rsidR="00B5773B" w:rsidRPr="00E9435E" w:rsidRDefault="00BF545F" w:rsidP="00485877">
      <w:pPr>
        <w:pStyle w:val="Heading1"/>
        <w:numPr>
          <w:ilvl w:val="0"/>
          <w:numId w:val="6"/>
        </w:numPr>
      </w:pPr>
      <w:bookmarkStart w:id="17" w:name="_Toc496350658"/>
      <w:bookmarkStart w:id="18" w:name="_Toc496648788"/>
      <w:bookmarkStart w:id="19" w:name="_Toc496875695"/>
      <w:r w:rsidRPr="00E9435E">
        <w:br w:type="page"/>
      </w:r>
      <w:bookmarkStart w:id="20" w:name="_Toc20765357"/>
      <w:r w:rsidR="00315409">
        <w:lastRenderedPageBreak/>
        <w:t xml:space="preserve"> </w:t>
      </w:r>
      <w:bookmarkStart w:id="21" w:name="_Toc23249990"/>
      <w:r w:rsidR="00F16DF8" w:rsidRPr="00E9435E">
        <w:t>Fuel Substitution</w:t>
      </w:r>
      <w:r w:rsidR="00A03A2E" w:rsidRPr="00E9435E">
        <w:t xml:space="preserve"> </w:t>
      </w:r>
      <w:bookmarkEnd w:id="20"/>
      <w:r w:rsidR="00315409">
        <w:t xml:space="preserve">Measure </w:t>
      </w:r>
      <w:r w:rsidR="009922DC">
        <w:t>Procedures</w:t>
      </w:r>
      <w:bookmarkEnd w:id="21"/>
    </w:p>
    <w:bookmarkEnd w:id="17"/>
    <w:bookmarkEnd w:id="18"/>
    <w:bookmarkEnd w:id="19"/>
    <w:p w14:paraId="01E30F7A" w14:textId="77777777" w:rsidR="00442028" w:rsidRPr="00E9435E" w:rsidRDefault="00442028" w:rsidP="00442028">
      <w:pPr>
        <w:rPr>
          <w:rFonts w:asciiTheme="minorHAnsi" w:hAnsiTheme="minorHAnsi" w:cstheme="minorHAnsi"/>
          <w:color w:val="FF0000"/>
        </w:rPr>
      </w:pPr>
    </w:p>
    <w:p w14:paraId="54496D4B" w14:textId="318DD4D8" w:rsidR="00315409" w:rsidRPr="00E9435E" w:rsidRDefault="00315409" w:rsidP="00AB2BFB">
      <w:pPr>
        <w:pStyle w:val="Heading2"/>
      </w:pPr>
      <w:bookmarkStart w:id="22" w:name="_Toc23249991"/>
      <w:bookmarkStart w:id="23" w:name="_Toc20765359"/>
      <w:r>
        <w:t>Fuel Substitution Measure Procedures</w:t>
      </w:r>
      <w:bookmarkEnd w:id="22"/>
      <w:r>
        <w:t xml:space="preserve"> </w:t>
      </w:r>
    </w:p>
    <w:p w14:paraId="523CB881" w14:textId="77777777" w:rsidR="00315409" w:rsidRDefault="00315409" w:rsidP="002A4FE7"/>
    <w:p w14:paraId="3260107A" w14:textId="2AF69BE2" w:rsidR="002A4FE7" w:rsidRDefault="002A4FE7" w:rsidP="002A4FE7">
      <w:r>
        <w:t xml:space="preserve">This </w:t>
      </w:r>
      <w:r w:rsidR="00562E0D">
        <w:t>chapter</w:t>
      </w:r>
      <w:r>
        <w:t xml:space="preserve"> describes the step-by-step procedures for the fuel substitution test. </w:t>
      </w:r>
    </w:p>
    <w:p w14:paraId="605AC8C4" w14:textId="77777777" w:rsidR="00B5140D" w:rsidRPr="00E55509" w:rsidRDefault="00B5140D" w:rsidP="00B5140D"/>
    <w:p w14:paraId="54AC2F19" w14:textId="310E24D0" w:rsidR="009F4FEA" w:rsidRDefault="002E5C4F" w:rsidP="00AB2BFB">
      <w:pPr>
        <w:pStyle w:val="Heading2"/>
      </w:pPr>
      <w:bookmarkStart w:id="24" w:name="_Toc23249992"/>
      <w:r>
        <w:t xml:space="preserve">Step 1 – Determine the </w:t>
      </w:r>
      <w:r w:rsidR="00CC2440">
        <w:t xml:space="preserve">New </w:t>
      </w:r>
      <w:r>
        <w:t xml:space="preserve">Measure </w:t>
      </w:r>
      <w:r w:rsidR="00E06509">
        <w:t xml:space="preserve">&amp; Baseline </w:t>
      </w:r>
      <w:r>
        <w:t>Technology</w:t>
      </w:r>
      <w:bookmarkEnd w:id="24"/>
      <w:r>
        <w:t xml:space="preserve"> </w:t>
      </w:r>
    </w:p>
    <w:p w14:paraId="5E7EF95A" w14:textId="0BE54BA8" w:rsidR="002E5C4F" w:rsidRDefault="002E5C4F" w:rsidP="002E5C4F"/>
    <w:p w14:paraId="7D31F225" w14:textId="31F37064" w:rsidR="002930C1" w:rsidRPr="00950A66" w:rsidRDefault="002930C1" w:rsidP="002930C1">
      <w:pPr>
        <w:rPr>
          <w:rFonts w:asciiTheme="minorHAnsi" w:hAnsiTheme="minorHAnsi"/>
        </w:rPr>
      </w:pPr>
      <w:r w:rsidRPr="00B53B7B">
        <w:rPr>
          <w:rFonts w:asciiTheme="minorHAnsi" w:hAnsiTheme="minorHAnsi"/>
        </w:rPr>
        <w:t xml:space="preserve">The </w:t>
      </w:r>
      <w:r w:rsidR="00CC2440">
        <w:rPr>
          <w:rFonts w:asciiTheme="minorHAnsi" w:hAnsiTheme="minorHAnsi"/>
        </w:rPr>
        <w:t xml:space="preserve">new </w:t>
      </w:r>
      <w:r w:rsidRPr="00B53B7B">
        <w:rPr>
          <w:rFonts w:asciiTheme="minorHAnsi" w:hAnsiTheme="minorHAnsi"/>
        </w:rPr>
        <w:t>measure technology</w:t>
      </w:r>
      <w:r w:rsidR="00CC2440">
        <w:rPr>
          <w:rFonts w:asciiTheme="minorHAnsi" w:hAnsiTheme="minorHAnsi"/>
        </w:rPr>
        <w:t>, referred to as “measure technology” through this document,</w:t>
      </w:r>
      <w:r w:rsidRPr="00B53B7B">
        <w:rPr>
          <w:rFonts w:asciiTheme="minorHAnsi" w:hAnsiTheme="minorHAnsi"/>
        </w:rPr>
        <w:t xml:space="preserve"> is the new fuel technology</w:t>
      </w:r>
      <w:r w:rsidRPr="00950A66">
        <w:rPr>
          <w:rFonts w:asciiTheme="minorHAnsi" w:hAnsiTheme="minorHAnsi"/>
        </w:rPr>
        <w:t xml:space="preserve"> that </w:t>
      </w:r>
      <w:r w:rsidR="427EA5AA" w:rsidRPr="00D10656">
        <w:rPr>
          <w:rFonts w:asciiTheme="minorHAnsi" w:hAnsiTheme="minorHAnsi"/>
        </w:rPr>
        <w:t>the program administrator or implement</w:t>
      </w:r>
      <w:r w:rsidR="00876F48">
        <w:rPr>
          <w:rFonts w:asciiTheme="minorHAnsi" w:hAnsiTheme="minorHAnsi"/>
        </w:rPr>
        <w:t>e</w:t>
      </w:r>
      <w:r w:rsidR="427EA5AA" w:rsidRPr="00D10656">
        <w:rPr>
          <w:rFonts w:asciiTheme="minorHAnsi" w:hAnsiTheme="minorHAnsi"/>
        </w:rPr>
        <w:t xml:space="preserve">r </w:t>
      </w:r>
      <w:r w:rsidR="118FF25D" w:rsidRPr="00D10656">
        <w:rPr>
          <w:rFonts w:asciiTheme="minorHAnsi" w:hAnsiTheme="minorHAnsi"/>
        </w:rPr>
        <w:t>plans to install as a replacement for an original fuel technology which serve</w:t>
      </w:r>
      <w:r w:rsidR="29EF600B" w:rsidRPr="00D10656">
        <w:rPr>
          <w:rFonts w:asciiTheme="minorHAnsi" w:hAnsiTheme="minorHAnsi"/>
        </w:rPr>
        <w:t>d</w:t>
      </w:r>
      <w:r w:rsidR="118FF25D" w:rsidRPr="00D10656">
        <w:rPr>
          <w:rFonts w:asciiTheme="minorHAnsi" w:hAnsiTheme="minorHAnsi"/>
        </w:rPr>
        <w:t xml:space="preserve"> the same or similar purpose. </w:t>
      </w:r>
      <w:r w:rsidRPr="4BA351E6">
        <w:rPr>
          <w:rFonts w:asciiTheme="minorHAnsi" w:hAnsiTheme="minorHAnsi"/>
        </w:rPr>
        <w:t xml:space="preserve">The </w:t>
      </w:r>
      <w:r w:rsidR="17F90321" w:rsidRPr="4BA351E6">
        <w:rPr>
          <w:rFonts w:asciiTheme="minorHAnsi" w:hAnsiTheme="minorHAnsi"/>
        </w:rPr>
        <w:t>chosen</w:t>
      </w:r>
      <w:r w:rsidRPr="00E9435E">
        <w:rPr>
          <w:rFonts w:asciiTheme="minorHAnsi" w:hAnsiTheme="minorHAnsi"/>
        </w:rPr>
        <w:t xml:space="preserve"> measure technology </w:t>
      </w:r>
      <w:r w:rsidR="17F90321" w:rsidRPr="4BA351E6">
        <w:rPr>
          <w:rFonts w:asciiTheme="minorHAnsi" w:hAnsiTheme="minorHAnsi"/>
        </w:rPr>
        <w:t>is</w:t>
      </w:r>
      <w:r w:rsidRPr="4BA351E6">
        <w:rPr>
          <w:rFonts w:asciiTheme="minorHAnsi" w:hAnsiTheme="minorHAnsi"/>
        </w:rPr>
        <w:t xml:space="preserve"> </w:t>
      </w:r>
      <w:r w:rsidR="17F90321" w:rsidRPr="4BA351E6">
        <w:rPr>
          <w:rFonts w:asciiTheme="minorHAnsi" w:hAnsiTheme="minorHAnsi"/>
        </w:rPr>
        <w:t>the</w:t>
      </w:r>
      <w:r w:rsidRPr="00E9435E">
        <w:rPr>
          <w:rFonts w:asciiTheme="minorHAnsi" w:hAnsiTheme="minorHAnsi"/>
        </w:rPr>
        <w:t xml:space="preserve"> same </w:t>
      </w:r>
      <w:r>
        <w:rPr>
          <w:rFonts w:asciiTheme="minorHAnsi" w:hAnsiTheme="minorHAnsi"/>
        </w:rPr>
        <w:t>throughout the</w:t>
      </w:r>
      <w:r w:rsidRPr="00E9435E">
        <w:rPr>
          <w:rFonts w:asciiTheme="minorHAnsi" w:hAnsiTheme="minorHAnsi"/>
        </w:rPr>
        <w:t xml:space="preserve"> fuel substitution test, cost-effectiveness calculations, and reported energy savings. </w:t>
      </w:r>
      <w:r w:rsidR="624102E6" w:rsidRPr="4BA351E6">
        <w:rPr>
          <w:rFonts w:asciiTheme="minorHAnsi" w:hAnsiTheme="minorHAnsi"/>
        </w:rPr>
        <w:t xml:space="preserve">Measure </w:t>
      </w:r>
      <w:r w:rsidR="35EF808F" w:rsidRPr="4BA351E6">
        <w:rPr>
          <w:rFonts w:asciiTheme="minorHAnsi" w:hAnsiTheme="minorHAnsi"/>
        </w:rPr>
        <w:t>technologies are technologies which utilize either natural gas or electricity</w:t>
      </w:r>
      <w:r w:rsidR="7E6FBDB4" w:rsidRPr="4BA351E6">
        <w:rPr>
          <w:rFonts w:asciiTheme="minorHAnsi" w:hAnsiTheme="minorHAnsi"/>
        </w:rPr>
        <w:t>.</w:t>
      </w:r>
      <w:r w:rsidR="35EF808F" w:rsidRPr="4BA351E6">
        <w:rPr>
          <w:rFonts w:asciiTheme="minorHAnsi" w:hAnsiTheme="minorHAnsi"/>
        </w:rPr>
        <w:t xml:space="preserve"> </w:t>
      </w:r>
      <w:r w:rsidR="7E6FBDB4" w:rsidRPr="4BA351E6">
        <w:rPr>
          <w:rFonts w:asciiTheme="minorHAnsi" w:hAnsiTheme="minorHAnsi"/>
        </w:rPr>
        <w:t>A</w:t>
      </w:r>
      <w:r w:rsidR="35EF808F" w:rsidRPr="4BA351E6">
        <w:rPr>
          <w:rFonts w:asciiTheme="minorHAnsi" w:hAnsiTheme="minorHAnsi"/>
        </w:rPr>
        <w:t xml:space="preserve"> </w:t>
      </w:r>
      <w:r w:rsidR="7E6FBDB4" w:rsidRPr="4BA351E6">
        <w:rPr>
          <w:rFonts w:asciiTheme="minorHAnsi" w:hAnsiTheme="minorHAnsi"/>
        </w:rPr>
        <w:t xml:space="preserve">measure is considered a </w:t>
      </w:r>
      <w:r w:rsidR="35EF808F" w:rsidRPr="4BA351E6">
        <w:rPr>
          <w:rFonts w:asciiTheme="minorHAnsi" w:hAnsiTheme="minorHAnsi"/>
        </w:rPr>
        <w:t>fu</w:t>
      </w:r>
      <w:r w:rsidR="5C094CA7" w:rsidRPr="4BA351E6">
        <w:rPr>
          <w:rFonts w:asciiTheme="minorHAnsi" w:hAnsiTheme="minorHAnsi"/>
        </w:rPr>
        <w:t>el substitution measure when t</w:t>
      </w:r>
      <w:r w:rsidR="7E6FBDB4" w:rsidRPr="4BA351E6">
        <w:rPr>
          <w:rFonts w:asciiTheme="minorHAnsi" w:hAnsiTheme="minorHAnsi"/>
        </w:rPr>
        <w:t xml:space="preserve">he measure </w:t>
      </w:r>
      <w:r w:rsidR="5C094CA7" w:rsidRPr="4BA351E6">
        <w:rPr>
          <w:rFonts w:asciiTheme="minorHAnsi" w:hAnsiTheme="minorHAnsi"/>
        </w:rPr>
        <w:t>replace</w:t>
      </w:r>
      <w:r w:rsidR="7E6FBDB4" w:rsidRPr="4BA351E6">
        <w:rPr>
          <w:rFonts w:asciiTheme="minorHAnsi" w:hAnsiTheme="minorHAnsi"/>
        </w:rPr>
        <w:t>s</w:t>
      </w:r>
      <w:r w:rsidR="5C094CA7" w:rsidRPr="4BA351E6">
        <w:rPr>
          <w:rFonts w:asciiTheme="minorHAnsi" w:hAnsiTheme="minorHAnsi"/>
        </w:rPr>
        <w:t xml:space="preserve"> a similar technology utilizing a different fuel.</w:t>
      </w:r>
    </w:p>
    <w:bookmarkEnd w:id="23"/>
    <w:p w14:paraId="057866DD" w14:textId="515CAFB4" w:rsidR="00D078A3" w:rsidRDefault="00D078A3" w:rsidP="00D078A3"/>
    <w:p w14:paraId="0E7900B7" w14:textId="7DA97375" w:rsidR="00B43C18" w:rsidRPr="00950A66" w:rsidRDefault="00BF72C7" w:rsidP="00D078A3">
      <w:pPr>
        <w:rPr>
          <w:rFonts w:asciiTheme="minorHAnsi" w:hAnsiTheme="minorHAnsi"/>
        </w:rPr>
      </w:pPr>
      <w:r>
        <w:t xml:space="preserve">As with </w:t>
      </w:r>
      <w:r w:rsidR="44CAF239">
        <w:t>any</w:t>
      </w:r>
      <w:r>
        <w:t xml:space="preserve"> energy efficiency measure, the fuel substitution measure requires a </w:t>
      </w:r>
      <w:r w:rsidR="003325E6">
        <w:t>baseline technology</w:t>
      </w:r>
      <w:r w:rsidR="60F88BF2">
        <w:t xml:space="preserve"> as a basis for comparison.</w:t>
      </w:r>
      <w:r w:rsidR="003325E6">
        <w:t xml:space="preserve"> </w:t>
      </w:r>
      <w:r w:rsidR="0034327B">
        <w:t>The baseline is the</w:t>
      </w:r>
      <w:r w:rsidR="00B43C18">
        <w:t xml:space="preserve"> </w:t>
      </w:r>
      <w:r w:rsidR="00C93E1B">
        <w:t>state of performance and/or equipment that would have happened in absence of the program</w:t>
      </w:r>
      <w:r w:rsidR="00876F48">
        <w:t>-</w:t>
      </w:r>
      <w:r w:rsidR="00C93E1B">
        <w:t>induced energy efficiency</w:t>
      </w:r>
      <w:r w:rsidR="00876F48">
        <w:t>.</w:t>
      </w:r>
      <w:r w:rsidRPr="00D10656">
        <w:rPr>
          <w:rStyle w:val="FootnoteReference"/>
        </w:rPr>
        <w:footnoteReference w:id="8"/>
      </w:r>
      <w:r w:rsidR="06151946" w:rsidRPr="3C58E123">
        <w:t xml:space="preserve"> </w:t>
      </w:r>
      <w:r w:rsidR="0034327B">
        <w:t xml:space="preserve">The baseline technology </w:t>
      </w:r>
      <w:r w:rsidR="08BDD4F7">
        <w:t>for fuel substitutio</w:t>
      </w:r>
      <w:r w:rsidR="24149A15">
        <w:t xml:space="preserve">n measures </w:t>
      </w:r>
      <w:r w:rsidR="3062E59F">
        <w:t>utili</w:t>
      </w:r>
      <w:r w:rsidR="07339B4E">
        <w:t>zes</w:t>
      </w:r>
      <w:r w:rsidR="0034327B">
        <w:t xml:space="preserve"> </w:t>
      </w:r>
      <w:r w:rsidR="7B88BA86">
        <w:t xml:space="preserve">the </w:t>
      </w:r>
      <w:r w:rsidR="0034327B">
        <w:t>o</w:t>
      </w:r>
      <w:r w:rsidR="227AEDEC">
        <w:t>riginal</w:t>
      </w:r>
      <w:r w:rsidR="0034327B" w:rsidRPr="3C58E123">
        <w:t xml:space="preserve"> </w:t>
      </w:r>
      <w:r w:rsidR="227AEDEC">
        <w:t>fuel</w:t>
      </w:r>
      <w:r w:rsidR="0034327B">
        <w:t xml:space="preserve">. </w:t>
      </w:r>
      <w:r w:rsidR="000772B7">
        <w:t xml:space="preserve">The baseline technology should comply with the baseline policies in </w:t>
      </w:r>
      <w:r w:rsidR="000772B7" w:rsidRPr="18B38579">
        <w:rPr>
          <w:rFonts w:asciiTheme="minorHAnsi" w:hAnsiTheme="minorHAnsi"/>
        </w:rPr>
        <w:t>CPUC Resolution E-4818</w:t>
      </w:r>
      <w:r w:rsidR="000772B7" w:rsidRPr="18B38579">
        <w:rPr>
          <w:rStyle w:val="FootnoteReference"/>
          <w:rFonts w:asciiTheme="minorHAnsi" w:hAnsiTheme="minorHAnsi"/>
        </w:rPr>
        <w:footnoteReference w:id="9"/>
      </w:r>
      <w:r w:rsidR="000772B7" w:rsidRPr="18B38579">
        <w:rPr>
          <w:rFonts w:asciiTheme="minorHAnsi" w:hAnsiTheme="minorHAnsi"/>
        </w:rPr>
        <w:t xml:space="preserve"> and </w:t>
      </w:r>
      <w:r w:rsidR="003110FE">
        <w:rPr>
          <w:rFonts w:asciiTheme="minorHAnsi" w:hAnsiTheme="minorHAnsi"/>
        </w:rPr>
        <w:t xml:space="preserve">CPUC </w:t>
      </w:r>
      <w:r w:rsidR="000772B7" w:rsidRPr="18B38579">
        <w:rPr>
          <w:rFonts w:asciiTheme="minorHAnsi" w:hAnsiTheme="minorHAnsi"/>
        </w:rPr>
        <w:t>Resolution E-4939-Attachment A</w:t>
      </w:r>
      <w:r w:rsidR="00876F48">
        <w:rPr>
          <w:rFonts w:asciiTheme="minorHAnsi" w:hAnsiTheme="minorHAnsi"/>
        </w:rPr>
        <w:t>.</w:t>
      </w:r>
      <w:r w:rsidR="000772B7" w:rsidRPr="18B38579">
        <w:rPr>
          <w:rStyle w:val="FootnoteReference"/>
          <w:rFonts w:asciiTheme="minorHAnsi" w:hAnsiTheme="minorHAnsi"/>
        </w:rPr>
        <w:footnoteReference w:id="10"/>
      </w:r>
      <w:r w:rsidR="000772B7">
        <w:rPr>
          <w:rFonts w:asciiTheme="minorHAnsi" w:hAnsiTheme="minorHAnsi"/>
        </w:rPr>
        <w:t xml:space="preserve"> </w:t>
      </w:r>
      <w:r w:rsidR="00A028D4" w:rsidRPr="08BDD4F7">
        <w:rPr>
          <w:rFonts w:asciiTheme="minorHAnsi" w:hAnsiTheme="minorHAnsi"/>
        </w:rPr>
        <w:t xml:space="preserve">As </w:t>
      </w:r>
      <w:r w:rsidR="3C58E123" w:rsidRPr="08BDD4F7">
        <w:rPr>
          <w:rFonts w:asciiTheme="minorHAnsi" w:hAnsiTheme="minorHAnsi"/>
        </w:rPr>
        <w:t>stated</w:t>
      </w:r>
      <w:r w:rsidR="00A028D4">
        <w:rPr>
          <w:rFonts w:asciiTheme="minorHAnsi" w:hAnsiTheme="minorHAnsi"/>
        </w:rPr>
        <w:t xml:space="preserve"> in these </w:t>
      </w:r>
      <w:r w:rsidR="00B43C18">
        <w:rPr>
          <w:rFonts w:asciiTheme="minorHAnsi" w:hAnsiTheme="minorHAnsi"/>
        </w:rPr>
        <w:t xml:space="preserve">policies, the baseline technology varies based on the measure application type (MAT). The common </w:t>
      </w:r>
      <w:r w:rsidR="00D20C43">
        <w:rPr>
          <w:rFonts w:asciiTheme="minorHAnsi" w:hAnsiTheme="minorHAnsi"/>
        </w:rPr>
        <w:t xml:space="preserve">MATs associated with the fuel substitution measures and the applicable baseline technology are listed below: </w:t>
      </w:r>
    </w:p>
    <w:p w14:paraId="562F4979" w14:textId="77777777" w:rsidR="00B43C18" w:rsidRDefault="00B43C18" w:rsidP="00D078A3">
      <w:pPr>
        <w:rPr>
          <w:rFonts w:asciiTheme="minorHAnsi" w:hAnsiTheme="minorHAnsi"/>
          <w:highlight w:val="yellow"/>
        </w:rPr>
      </w:pPr>
    </w:p>
    <w:p w14:paraId="0C002EFE" w14:textId="6C6128AF" w:rsidR="38746D1E" w:rsidRPr="00D10656" w:rsidRDefault="00315409" w:rsidP="00D10656">
      <w:pPr>
        <w:pStyle w:val="Caption"/>
        <w:jc w:val="center"/>
        <w:rPr>
          <w:highlight w:val="yellow"/>
        </w:rPr>
      </w:pPr>
      <w:r w:rsidRPr="00A35422">
        <w:t xml:space="preserve">Table </w:t>
      </w:r>
      <w:r w:rsidRPr="00A35422">
        <w:rPr>
          <w:i w:val="0"/>
          <w:iCs w:val="0"/>
        </w:rPr>
        <w:fldChar w:fldCharType="begin"/>
      </w:r>
      <w:r w:rsidRPr="00B13D55">
        <w:instrText xml:space="preserve"> SEQ Table \* ARABIC </w:instrText>
      </w:r>
      <w:r w:rsidRPr="00A35422">
        <w:rPr>
          <w:i w:val="0"/>
          <w:iCs w:val="0"/>
        </w:rPr>
        <w:fldChar w:fldCharType="separate"/>
      </w:r>
      <w:r w:rsidR="004929BA" w:rsidRPr="00D10656">
        <w:rPr>
          <w:noProof/>
          <w:sz w:val="22"/>
          <w:szCs w:val="22"/>
        </w:rPr>
        <w:t>1</w:t>
      </w:r>
      <w:r w:rsidRPr="00A35422">
        <w:rPr>
          <w:i w:val="0"/>
          <w:iCs w:val="0"/>
        </w:rPr>
        <w:fldChar w:fldCharType="end"/>
      </w:r>
      <w:r w:rsidRPr="00A35422">
        <w:t xml:space="preserve"> Baseline Technology by Measure Application Typ</w:t>
      </w:r>
      <w:r w:rsidRPr="00D10656">
        <w:rPr>
          <w:sz w:val="22"/>
          <w:szCs w:val="22"/>
        </w:rPr>
        <w:t>e</w:t>
      </w:r>
    </w:p>
    <w:tbl>
      <w:tblPr>
        <w:tblStyle w:val="TableGrid"/>
        <w:tblW w:w="0" w:type="auto"/>
        <w:jc w:val="center"/>
        <w:tblLook w:val="04A0" w:firstRow="1" w:lastRow="0" w:firstColumn="1" w:lastColumn="0" w:noHBand="0" w:noVBand="1"/>
      </w:tblPr>
      <w:tblGrid>
        <w:gridCol w:w="3685"/>
        <w:gridCol w:w="5400"/>
      </w:tblGrid>
      <w:tr w:rsidR="00D07D2F" w:rsidRPr="00E9435E" w14:paraId="4758BAEB" w14:textId="77777777" w:rsidTr="00D10656">
        <w:trPr>
          <w:trHeight w:val="432"/>
          <w:jc w:val="center"/>
        </w:trPr>
        <w:tc>
          <w:tcPr>
            <w:tcW w:w="3685" w:type="dxa"/>
            <w:vAlign w:val="center"/>
          </w:tcPr>
          <w:p w14:paraId="2C88DC50" w14:textId="31C3379B" w:rsidR="00D07D2F" w:rsidRPr="00E9435E" w:rsidRDefault="00A941E9" w:rsidP="002F5348">
            <w:pPr>
              <w:rPr>
                <w:rFonts w:asciiTheme="minorHAnsi" w:hAnsiTheme="minorHAnsi"/>
                <w:b/>
              </w:rPr>
            </w:pPr>
            <w:r w:rsidRPr="00E9435E">
              <w:rPr>
                <w:rFonts w:asciiTheme="minorHAnsi" w:hAnsiTheme="minorHAnsi"/>
                <w:b/>
              </w:rPr>
              <w:t>Measure Application Type</w:t>
            </w:r>
            <w:r w:rsidR="00CF678B" w:rsidRPr="00E9435E">
              <w:rPr>
                <w:rFonts w:asciiTheme="minorHAnsi" w:hAnsiTheme="minorHAnsi"/>
                <w:b/>
              </w:rPr>
              <w:t xml:space="preserve"> (MAT)</w:t>
            </w:r>
          </w:p>
        </w:tc>
        <w:tc>
          <w:tcPr>
            <w:tcW w:w="5400" w:type="dxa"/>
            <w:vAlign w:val="center"/>
          </w:tcPr>
          <w:p w14:paraId="1978B8DD" w14:textId="102F32C2" w:rsidR="00D07D2F" w:rsidRPr="00E9435E" w:rsidRDefault="00D20C43" w:rsidP="002F5348">
            <w:pPr>
              <w:rPr>
                <w:rFonts w:asciiTheme="minorHAnsi" w:hAnsiTheme="minorHAnsi"/>
                <w:b/>
              </w:rPr>
            </w:pPr>
            <w:r>
              <w:rPr>
                <w:rFonts w:asciiTheme="minorHAnsi" w:hAnsiTheme="minorHAnsi"/>
                <w:b/>
              </w:rPr>
              <w:t>Baseline</w:t>
            </w:r>
            <w:r w:rsidRPr="00E9435E">
              <w:rPr>
                <w:rFonts w:asciiTheme="minorHAnsi" w:hAnsiTheme="minorHAnsi"/>
                <w:b/>
              </w:rPr>
              <w:t xml:space="preserve"> </w:t>
            </w:r>
            <w:r w:rsidR="008A567E" w:rsidRPr="00E9435E">
              <w:rPr>
                <w:rFonts w:asciiTheme="minorHAnsi" w:hAnsiTheme="minorHAnsi"/>
                <w:b/>
              </w:rPr>
              <w:t>t</w:t>
            </w:r>
            <w:r w:rsidR="00490598" w:rsidRPr="00E9435E">
              <w:rPr>
                <w:rFonts w:asciiTheme="minorHAnsi" w:hAnsiTheme="minorHAnsi"/>
                <w:b/>
              </w:rPr>
              <w:t xml:space="preserve">echnology </w:t>
            </w:r>
          </w:p>
        </w:tc>
      </w:tr>
      <w:tr w:rsidR="00D07D2F" w:rsidRPr="00E9435E" w14:paraId="0285A2D9" w14:textId="77777777" w:rsidTr="00D10656">
        <w:trPr>
          <w:trHeight w:val="432"/>
          <w:jc w:val="center"/>
        </w:trPr>
        <w:tc>
          <w:tcPr>
            <w:tcW w:w="3685" w:type="dxa"/>
            <w:vAlign w:val="center"/>
          </w:tcPr>
          <w:p w14:paraId="3207B1E6" w14:textId="1A8CA932" w:rsidR="00D07D2F" w:rsidRPr="00E9435E" w:rsidRDefault="00A941E9" w:rsidP="002F5348">
            <w:pPr>
              <w:rPr>
                <w:rFonts w:asciiTheme="minorHAnsi" w:hAnsiTheme="minorHAnsi"/>
              </w:rPr>
            </w:pPr>
            <w:r w:rsidRPr="00E9435E">
              <w:rPr>
                <w:rFonts w:asciiTheme="minorHAnsi" w:hAnsiTheme="minorHAnsi"/>
              </w:rPr>
              <w:t>Normal Replacement (NR)</w:t>
            </w:r>
          </w:p>
        </w:tc>
        <w:tc>
          <w:tcPr>
            <w:tcW w:w="5400" w:type="dxa"/>
            <w:vAlign w:val="center"/>
          </w:tcPr>
          <w:p w14:paraId="6C4086F0" w14:textId="37C70038" w:rsidR="00D07D2F" w:rsidRPr="00E9435E" w:rsidRDefault="008A567E" w:rsidP="002F5348">
            <w:pPr>
              <w:rPr>
                <w:rFonts w:asciiTheme="minorHAnsi" w:hAnsiTheme="minorHAnsi"/>
              </w:rPr>
            </w:pPr>
            <w:r w:rsidRPr="00E9435E">
              <w:rPr>
                <w:rFonts w:asciiTheme="minorHAnsi" w:hAnsiTheme="minorHAnsi"/>
              </w:rPr>
              <w:t xml:space="preserve">Code </w:t>
            </w:r>
            <w:r w:rsidR="0068416F" w:rsidRPr="00E9435E">
              <w:rPr>
                <w:rFonts w:asciiTheme="minorHAnsi" w:hAnsiTheme="minorHAnsi"/>
              </w:rPr>
              <w:t>or Industry Standard Practice (ISP)</w:t>
            </w:r>
          </w:p>
        </w:tc>
      </w:tr>
      <w:tr w:rsidR="00D07D2F" w:rsidRPr="00E9435E" w14:paraId="4B8F708D" w14:textId="77777777" w:rsidTr="00D10656">
        <w:trPr>
          <w:trHeight w:val="432"/>
          <w:jc w:val="center"/>
        </w:trPr>
        <w:tc>
          <w:tcPr>
            <w:tcW w:w="3685" w:type="dxa"/>
            <w:vAlign w:val="center"/>
          </w:tcPr>
          <w:p w14:paraId="5BC50378" w14:textId="4533D150" w:rsidR="00D07D2F" w:rsidRPr="00E9435E" w:rsidRDefault="00A941E9" w:rsidP="002F5348">
            <w:pPr>
              <w:rPr>
                <w:rFonts w:asciiTheme="minorHAnsi" w:hAnsiTheme="minorHAnsi"/>
              </w:rPr>
            </w:pPr>
            <w:r w:rsidRPr="00E9435E">
              <w:rPr>
                <w:rFonts w:asciiTheme="minorHAnsi" w:hAnsiTheme="minorHAnsi"/>
              </w:rPr>
              <w:t>Accelerated Replacement (</w:t>
            </w:r>
            <w:r w:rsidR="00490598" w:rsidRPr="00E9435E">
              <w:rPr>
                <w:rFonts w:asciiTheme="minorHAnsi" w:hAnsiTheme="minorHAnsi"/>
              </w:rPr>
              <w:t>AR)</w:t>
            </w:r>
          </w:p>
        </w:tc>
        <w:tc>
          <w:tcPr>
            <w:tcW w:w="5400" w:type="dxa"/>
            <w:vAlign w:val="center"/>
          </w:tcPr>
          <w:p w14:paraId="077600A3" w14:textId="09807F5B" w:rsidR="00D07D2F" w:rsidRPr="00E9435E" w:rsidRDefault="0068416F" w:rsidP="002F5348">
            <w:pPr>
              <w:rPr>
                <w:rFonts w:asciiTheme="minorHAnsi" w:hAnsiTheme="minorHAnsi"/>
              </w:rPr>
            </w:pPr>
            <w:r w:rsidRPr="00E9435E">
              <w:rPr>
                <w:rFonts w:asciiTheme="minorHAnsi" w:hAnsiTheme="minorHAnsi"/>
              </w:rPr>
              <w:t>Existing</w:t>
            </w:r>
            <w:r w:rsidR="003E5CF5" w:rsidRPr="00E9435E">
              <w:rPr>
                <w:rFonts w:asciiTheme="minorHAnsi" w:hAnsiTheme="minorHAnsi"/>
              </w:rPr>
              <w:t xml:space="preserve"> </w:t>
            </w:r>
            <w:r w:rsidRPr="00E9435E">
              <w:rPr>
                <w:rFonts w:asciiTheme="minorHAnsi" w:hAnsiTheme="minorHAnsi"/>
              </w:rPr>
              <w:t>baseline for the 1</w:t>
            </w:r>
            <w:r w:rsidRPr="00E9435E">
              <w:rPr>
                <w:rFonts w:asciiTheme="minorHAnsi" w:hAnsiTheme="minorHAnsi"/>
                <w:vertAlign w:val="superscript"/>
              </w:rPr>
              <w:t>st</w:t>
            </w:r>
            <w:r w:rsidRPr="00E9435E">
              <w:rPr>
                <w:rFonts w:asciiTheme="minorHAnsi" w:hAnsiTheme="minorHAnsi"/>
              </w:rPr>
              <w:t xml:space="preserve"> baseline (RUL</w:t>
            </w:r>
            <w:r w:rsidR="00314002">
              <w:rPr>
                <w:rStyle w:val="FootnoteReference"/>
                <w:rFonts w:asciiTheme="minorHAnsi" w:hAnsiTheme="minorHAnsi"/>
              </w:rPr>
              <w:footnoteReference w:id="11"/>
            </w:r>
            <w:r w:rsidRPr="00E9435E">
              <w:rPr>
                <w:rFonts w:asciiTheme="minorHAnsi" w:hAnsiTheme="minorHAnsi"/>
              </w:rPr>
              <w:t xml:space="preserve"> period) </w:t>
            </w:r>
          </w:p>
          <w:p w14:paraId="30230BFB" w14:textId="612ECB82" w:rsidR="0068416F" w:rsidRPr="00E9435E" w:rsidRDefault="0068416F" w:rsidP="002F5348">
            <w:pPr>
              <w:rPr>
                <w:rFonts w:asciiTheme="minorHAnsi" w:hAnsiTheme="minorHAnsi"/>
              </w:rPr>
            </w:pPr>
            <w:r w:rsidRPr="00E9435E">
              <w:rPr>
                <w:rFonts w:asciiTheme="minorHAnsi" w:hAnsiTheme="minorHAnsi"/>
              </w:rPr>
              <w:t>Code or ISP for the 2</w:t>
            </w:r>
            <w:r w:rsidRPr="00E9435E">
              <w:rPr>
                <w:rFonts w:asciiTheme="minorHAnsi" w:hAnsiTheme="minorHAnsi"/>
                <w:vertAlign w:val="superscript"/>
              </w:rPr>
              <w:t>nd</w:t>
            </w:r>
            <w:r w:rsidRPr="00E9435E">
              <w:rPr>
                <w:rFonts w:asciiTheme="minorHAnsi" w:hAnsiTheme="minorHAnsi"/>
              </w:rPr>
              <w:t xml:space="preserve"> baseline (EUL</w:t>
            </w:r>
            <w:r w:rsidR="00D73771">
              <w:rPr>
                <w:rStyle w:val="FootnoteReference"/>
                <w:rFonts w:asciiTheme="minorHAnsi" w:hAnsiTheme="minorHAnsi"/>
              </w:rPr>
              <w:footnoteReference w:id="12"/>
            </w:r>
            <w:r w:rsidRPr="00E9435E">
              <w:rPr>
                <w:rFonts w:asciiTheme="minorHAnsi" w:hAnsiTheme="minorHAnsi"/>
              </w:rPr>
              <w:t xml:space="preserve">-RUL period) </w:t>
            </w:r>
          </w:p>
        </w:tc>
      </w:tr>
      <w:tr w:rsidR="00120881" w:rsidRPr="00E9435E" w14:paraId="7B339ED4" w14:textId="77777777" w:rsidTr="00D10656">
        <w:trPr>
          <w:trHeight w:val="432"/>
          <w:jc w:val="center"/>
        </w:trPr>
        <w:tc>
          <w:tcPr>
            <w:tcW w:w="3685" w:type="dxa"/>
            <w:vAlign w:val="center"/>
          </w:tcPr>
          <w:p w14:paraId="62EDD314" w14:textId="60186C24" w:rsidR="00120881" w:rsidRPr="00E9435E" w:rsidRDefault="00120881" w:rsidP="002F5348">
            <w:pPr>
              <w:rPr>
                <w:rFonts w:asciiTheme="minorHAnsi" w:hAnsiTheme="minorHAnsi"/>
              </w:rPr>
            </w:pPr>
            <w:r>
              <w:rPr>
                <w:rFonts w:asciiTheme="minorHAnsi" w:hAnsiTheme="minorHAnsi"/>
              </w:rPr>
              <w:t>Behavioral, Retro-commissioning and Operational (BRO)</w:t>
            </w:r>
            <w:r w:rsidR="00422DB5">
              <w:rPr>
                <w:rFonts w:asciiTheme="minorHAnsi" w:hAnsiTheme="minorHAnsi"/>
              </w:rPr>
              <w:t xml:space="preserve">, </w:t>
            </w:r>
            <w:r w:rsidR="00422DB5" w:rsidRPr="00E9435E">
              <w:rPr>
                <w:rFonts w:asciiTheme="minorHAnsi" w:hAnsiTheme="minorHAnsi"/>
              </w:rPr>
              <w:t>Add-on Equipment (AOE)</w:t>
            </w:r>
            <w:r w:rsidR="00422DB5">
              <w:rPr>
                <w:rFonts w:asciiTheme="minorHAnsi" w:hAnsiTheme="minorHAnsi"/>
              </w:rPr>
              <w:t xml:space="preserve"> and Building </w:t>
            </w:r>
            <w:r w:rsidR="00422DB5" w:rsidRPr="00E9435E">
              <w:rPr>
                <w:rFonts w:asciiTheme="minorHAnsi" w:hAnsiTheme="minorHAnsi"/>
              </w:rPr>
              <w:t>Weatherization (BW</w:t>
            </w:r>
            <w:r w:rsidR="003110FE">
              <w:rPr>
                <w:rFonts w:asciiTheme="minorHAnsi" w:hAnsiTheme="minorHAnsi"/>
              </w:rPr>
              <w:t>)</w:t>
            </w:r>
          </w:p>
        </w:tc>
        <w:tc>
          <w:tcPr>
            <w:tcW w:w="5400" w:type="dxa"/>
            <w:vAlign w:val="center"/>
          </w:tcPr>
          <w:p w14:paraId="58C791DD" w14:textId="60B4269B" w:rsidR="00120881" w:rsidRPr="00E9435E" w:rsidRDefault="00120881" w:rsidP="002F5348">
            <w:pPr>
              <w:rPr>
                <w:rFonts w:asciiTheme="minorHAnsi" w:hAnsiTheme="minorHAnsi"/>
              </w:rPr>
            </w:pPr>
            <w:r>
              <w:rPr>
                <w:rFonts w:asciiTheme="minorHAnsi" w:hAnsiTheme="minorHAnsi"/>
              </w:rPr>
              <w:t>Existing baseline</w:t>
            </w:r>
          </w:p>
        </w:tc>
      </w:tr>
    </w:tbl>
    <w:p w14:paraId="1DFE789D" w14:textId="00A6F135" w:rsidR="00D07D2F" w:rsidRPr="00E9435E" w:rsidRDefault="00D07D2F" w:rsidP="002F5348">
      <w:pPr>
        <w:rPr>
          <w:rFonts w:asciiTheme="minorHAnsi" w:hAnsiTheme="minorHAnsi"/>
        </w:rPr>
      </w:pPr>
    </w:p>
    <w:p w14:paraId="78E62B6C" w14:textId="54EF6639" w:rsidR="00D3134F" w:rsidRDefault="31302B42" w:rsidP="00D3134F">
      <w:pPr>
        <w:rPr>
          <w:rFonts w:asciiTheme="minorHAnsi" w:hAnsiTheme="minorHAnsi"/>
        </w:rPr>
      </w:pPr>
      <w:r w:rsidRPr="31302B42">
        <w:rPr>
          <w:rFonts w:asciiTheme="minorHAnsi" w:hAnsiTheme="minorHAnsi"/>
        </w:rPr>
        <w:t xml:space="preserve">Measures with a </w:t>
      </w:r>
      <w:r w:rsidR="005423ED" w:rsidRPr="00B53B7B">
        <w:rPr>
          <w:rFonts w:asciiTheme="minorHAnsi" w:hAnsiTheme="minorHAnsi"/>
        </w:rPr>
        <w:t xml:space="preserve">New Construction (NC) </w:t>
      </w:r>
      <w:r w:rsidR="32233C75" w:rsidRPr="31302B42">
        <w:rPr>
          <w:rFonts w:asciiTheme="minorHAnsi" w:hAnsiTheme="minorHAnsi"/>
        </w:rPr>
        <w:t>MAT</w:t>
      </w:r>
      <w:r w:rsidR="0BAC69A6" w:rsidRPr="31302B42">
        <w:rPr>
          <w:rFonts w:asciiTheme="minorHAnsi" w:hAnsiTheme="minorHAnsi"/>
        </w:rPr>
        <w:t xml:space="preserve"> </w:t>
      </w:r>
      <w:r w:rsidR="00664849" w:rsidRPr="00B53B7B">
        <w:rPr>
          <w:rFonts w:asciiTheme="minorHAnsi" w:hAnsiTheme="minorHAnsi"/>
        </w:rPr>
        <w:t xml:space="preserve">are not </w:t>
      </w:r>
      <w:r w:rsidR="00664849">
        <w:rPr>
          <w:rFonts w:asciiTheme="minorHAnsi" w:hAnsiTheme="minorHAnsi"/>
        </w:rPr>
        <w:t>eligible</w:t>
      </w:r>
      <w:r w:rsidR="00F1147F">
        <w:rPr>
          <w:rFonts w:asciiTheme="minorHAnsi" w:hAnsiTheme="minorHAnsi"/>
        </w:rPr>
        <w:t xml:space="preserve"> for fuel substitution</w:t>
      </w:r>
      <w:r w:rsidR="00D3134F">
        <w:rPr>
          <w:rFonts w:asciiTheme="minorHAnsi" w:hAnsiTheme="minorHAnsi"/>
        </w:rPr>
        <w:t>.</w:t>
      </w:r>
      <w:r w:rsidR="00664849">
        <w:rPr>
          <w:rFonts w:asciiTheme="minorHAnsi" w:hAnsiTheme="minorHAnsi"/>
        </w:rPr>
        <w:t xml:space="preserve"> </w:t>
      </w:r>
      <w:r w:rsidR="00D3134F">
        <w:rPr>
          <w:rFonts w:asciiTheme="minorHAnsi" w:hAnsiTheme="minorHAnsi"/>
        </w:rPr>
        <w:t xml:space="preserve">Baseline Technology for NC </w:t>
      </w:r>
      <w:r w:rsidR="005423ED">
        <w:rPr>
          <w:rFonts w:asciiTheme="minorHAnsi" w:hAnsiTheme="minorHAnsi"/>
        </w:rPr>
        <w:t>is</w:t>
      </w:r>
      <w:r w:rsidR="00D3134F">
        <w:rPr>
          <w:rFonts w:asciiTheme="minorHAnsi" w:hAnsiTheme="minorHAnsi"/>
        </w:rPr>
        <w:t xml:space="preserve"> selected based on the new fuel</w:t>
      </w:r>
      <w:r w:rsidR="00876F48">
        <w:rPr>
          <w:rFonts w:asciiTheme="minorHAnsi" w:hAnsiTheme="minorHAnsi"/>
        </w:rPr>
        <w:t>.</w:t>
      </w:r>
      <w:r w:rsidR="00D3134F">
        <w:rPr>
          <w:rStyle w:val="FootnoteReference"/>
          <w:rFonts w:asciiTheme="minorHAnsi" w:hAnsiTheme="minorHAnsi"/>
        </w:rPr>
        <w:footnoteReference w:id="13"/>
      </w:r>
    </w:p>
    <w:p w14:paraId="24438A57" w14:textId="77777777" w:rsidR="00664849" w:rsidRDefault="00664849" w:rsidP="00664849">
      <w:pPr>
        <w:rPr>
          <w:rFonts w:asciiTheme="minorHAnsi" w:hAnsiTheme="minorHAnsi"/>
        </w:rPr>
      </w:pPr>
    </w:p>
    <w:p w14:paraId="13A48227" w14:textId="7B658F02" w:rsidR="00DA30E1" w:rsidRPr="00294352" w:rsidRDefault="00664849">
      <w:pPr>
        <w:rPr>
          <w:rFonts w:asciiTheme="minorHAnsi" w:hAnsiTheme="minorHAnsi"/>
        </w:rPr>
      </w:pPr>
      <w:r>
        <w:rPr>
          <w:rFonts w:asciiTheme="minorHAnsi" w:hAnsiTheme="minorHAnsi"/>
        </w:rPr>
        <w:t xml:space="preserve">Like the measure technology, </w:t>
      </w:r>
      <w:r w:rsidR="6986A465" w:rsidRPr="538B38B0">
        <w:rPr>
          <w:rFonts w:asciiTheme="minorHAnsi" w:hAnsiTheme="minorHAnsi"/>
        </w:rPr>
        <w:t xml:space="preserve">a </w:t>
      </w:r>
      <w:r w:rsidR="19DE5360" w:rsidRPr="538B38B0">
        <w:rPr>
          <w:rFonts w:asciiTheme="minorHAnsi" w:hAnsiTheme="minorHAnsi"/>
        </w:rPr>
        <w:t>constant</w:t>
      </w:r>
      <w:r w:rsidRPr="00E9435E">
        <w:rPr>
          <w:rFonts w:asciiTheme="minorHAnsi" w:hAnsiTheme="minorHAnsi"/>
        </w:rPr>
        <w:t xml:space="preserve"> </w:t>
      </w:r>
      <w:r>
        <w:rPr>
          <w:rFonts w:asciiTheme="minorHAnsi" w:hAnsiTheme="minorHAnsi"/>
        </w:rPr>
        <w:t>baseline</w:t>
      </w:r>
      <w:r w:rsidRPr="00E9435E">
        <w:rPr>
          <w:rFonts w:asciiTheme="minorHAnsi" w:hAnsiTheme="minorHAnsi"/>
        </w:rPr>
        <w:t xml:space="preserve"> technology </w:t>
      </w:r>
      <w:r w:rsidR="099B96BB" w:rsidRPr="538B38B0">
        <w:rPr>
          <w:rFonts w:asciiTheme="minorHAnsi" w:hAnsiTheme="minorHAnsi"/>
        </w:rPr>
        <w:t>is use</w:t>
      </w:r>
      <w:r w:rsidR="3058A3FA" w:rsidRPr="538B38B0">
        <w:rPr>
          <w:rFonts w:asciiTheme="minorHAnsi" w:hAnsiTheme="minorHAnsi"/>
        </w:rPr>
        <w:t xml:space="preserve">d for </w:t>
      </w:r>
      <w:r>
        <w:rPr>
          <w:rFonts w:asciiTheme="minorHAnsi" w:hAnsiTheme="minorHAnsi"/>
        </w:rPr>
        <w:t>the</w:t>
      </w:r>
      <w:r w:rsidRPr="00E9435E">
        <w:rPr>
          <w:rFonts w:asciiTheme="minorHAnsi" w:hAnsiTheme="minorHAnsi"/>
        </w:rPr>
        <w:t xml:space="preserve"> fuel substitution test, cost-effectiveness calculations, and reported energy savings. </w:t>
      </w:r>
      <w:r w:rsidR="7FB46DDC" w:rsidRPr="00D10656">
        <w:rPr>
          <w:rFonts w:asciiTheme="minorHAnsi" w:hAnsiTheme="minorHAnsi"/>
        </w:rPr>
        <w:t xml:space="preserve"> </w:t>
      </w:r>
    </w:p>
    <w:p w14:paraId="45B249D9" w14:textId="1C159B0F" w:rsidR="00D96B14" w:rsidRPr="00294352" w:rsidRDefault="00D96B14" w:rsidP="002F5348">
      <w:pPr>
        <w:rPr>
          <w:rFonts w:asciiTheme="minorHAnsi" w:hAnsiTheme="minorHAnsi"/>
        </w:rPr>
      </w:pPr>
    </w:p>
    <w:p w14:paraId="03EA5543" w14:textId="6CFCAB42" w:rsidR="00181BA4" w:rsidRDefault="00181BA4" w:rsidP="00AB2BFB">
      <w:pPr>
        <w:pStyle w:val="Heading2"/>
      </w:pPr>
      <w:bookmarkStart w:id="25" w:name="_Toc23249993"/>
      <w:r>
        <w:t xml:space="preserve">Step </w:t>
      </w:r>
      <w:r w:rsidR="00E06509">
        <w:t>2</w:t>
      </w:r>
      <w:r>
        <w:t xml:space="preserve"> – </w:t>
      </w:r>
      <w:r w:rsidR="009135E1">
        <w:t xml:space="preserve">Calculate </w:t>
      </w:r>
      <w:r w:rsidR="00AB2BFB">
        <w:t xml:space="preserve">Site Energy, Source Energy, and </w:t>
      </w:r>
      <w:r w:rsidR="0091403B">
        <w:t>CO</w:t>
      </w:r>
      <w:r w:rsidR="0091403B" w:rsidRPr="00201BE1">
        <w:rPr>
          <w:vertAlign w:val="subscript"/>
        </w:rPr>
        <w:t>2</w:t>
      </w:r>
      <w:r w:rsidR="00AB2BFB">
        <w:t xml:space="preserve"> Emissions</w:t>
      </w:r>
      <w:bookmarkEnd w:id="25"/>
    </w:p>
    <w:p w14:paraId="5B34E776" w14:textId="3F140AA5" w:rsidR="007B51FC" w:rsidRDefault="007B51FC" w:rsidP="007B51FC"/>
    <w:p w14:paraId="5F763594" w14:textId="1B132660" w:rsidR="00AB2BFB" w:rsidRDefault="00AB2BFB" w:rsidP="0091403B">
      <w:pPr>
        <w:pStyle w:val="Heading3"/>
      </w:pPr>
      <w:bookmarkStart w:id="26" w:name="_Toc23249994"/>
      <w:r>
        <w:t>2.1 Site Energy Calculations</w:t>
      </w:r>
      <w:bookmarkEnd w:id="26"/>
    </w:p>
    <w:p w14:paraId="63CE7D37" w14:textId="77777777" w:rsidR="00AB2BFB" w:rsidRPr="00AB2BFB" w:rsidRDefault="00AB2BFB" w:rsidP="007B51FC">
      <w:pPr>
        <w:rPr>
          <w:b/>
          <w:bCs/>
        </w:rPr>
      </w:pPr>
    </w:p>
    <w:p w14:paraId="39976318" w14:textId="2B1D6754" w:rsidR="00636ADE" w:rsidRDefault="0EB05289" w:rsidP="00D10656">
      <w:pPr>
        <w:contextualSpacing/>
      </w:pPr>
      <w:r>
        <w:t>In ord</w:t>
      </w:r>
      <w:r w:rsidR="6E6A1853">
        <w:t>er to determine the e</w:t>
      </w:r>
      <w:r w:rsidR="21C44670">
        <w:t>nergy savings of a fuel sub</w:t>
      </w:r>
      <w:r w:rsidR="36E011BC">
        <w:t xml:space="preserve">stitution measure, </w:t>
      </w:r>
      <w:r w:rsidR="54A700F7">
        <w:t xml:space="preserve">calculate the site </w:t>
      </w:r>
      <w:r w:rsidR="1954FCFA">
        <w:t>energy consumption of the base</w:t>
      </w:r>
      <w:r w:rsidR="460FEEC4">
        <w:t>line technology and measure tec</w:t>
      </w:r>
      <w:r w:rsidR="7A06DBD0">
        <w:t>hnology</w:t>
      </w:r>
      <w:r w:rsidR="00485877">
        <w:t xml:space="preserve"> using CPUC</w:t>
      </w:r>
      <w:r w:rsidR="00876F48">
        <w:t>-</w:t>
      </w:r>
      <w:r w:rsidR="00485877">
        <w:t>recognized methodologies, such as Database of Energy Efficiency Resources (DEER) assumptions, methods, and data</w:t>
      </w:r>
      <w:r w:rsidR="7A06DBD0">
        <w:t xml:space="preserve">. </w:t>
      </w:r>
      <w:r w:rsidR="3C4396E0">
        <w:t xml:space="preserve">The site </w:t>
      </w:r>
      <w:r w:rsidR="27201FB8">
        <w:t xml:space="preserve">energy consumption </w:t>
      </w:r>
      <w:r w:rsidR="25719282">
        <w:t>is</w:t>
      </w:r>
      <w:r w:rsidR="32E56BEB" w:rsidRPr="6B02C0EA">
        <w:t xml:space="preserve"> </w:t>
      </w:r>
      <w:r w:rsidR="00485877">
        <w:t>defined</w:t>
      </w:r>
      <w:r w:rsidR="734CAF10" w:rsidRPr="734CAF10">
        <w:t xml:space="preserve"> in either kW</w:t>
      </w:r>
      <w:r w:rsidR="6B02C0EA" w:rsidRPr="6B02C0EA">
        <w:t>h or Ther</w:t>
      </w:r>
      <w:r w:rsidR="5212DB17" w:rsidRPr="6B02C0EA">
        <w:t>m</w:t>
      </w:r>
      <w:r w:rsidR="00485877">
        <w:t>.</w:t>
      </w:r>
    </w:p>
    <w:p w14:paraId="4B6A8144" w14:textId="77777777" w:rsidR="00636ADE" w:rsidRDefault="00636ADE" w:rsidP="00D10656">
      <w:pPr>
        <w:contextualSpacing/>
      </w:pPr>
    </w:p>
    <w:p w14:paraId="4FF780A3" w14:textId="77777777" w:rsidR="00636ADE" w:rsidRPr="00E9435E" w:rsidRDefault="00636ADE" w:rsidP="00D10656">
      <w:pPr>
        <w:contextualSpacing/>
      </w:pPr>
      <w:r w:rsidRPr="00E9435E">
        <w:t xml:space="preserve">There will not be any peak demand reduction or penalty towards peak demand goal achievement from fuel substitution measures. </w:t>
      </w:r>
    </w:p>
    <w:p w14:paraId="2932BE3D" w14:textId="77777777" w:rsidR="00636ADE" w:rsidRDefault="00636ADE" w:rsidP="00D10656">
      <w:pPr>
        <w:spacing w:after="200"/>
        <w:contextualSpacing/>
      </w:pPr>
    </w:p>
    <w:p w14:paraId="03DA4B8C" w14:textId="77777777" w:rsidR="00636ADE" w:rsidRDefault="00636ADE" w:rsidP="00D10656">
      <w:pPr>
        <w:spacing w:after="200"/>
        <w:contextualSpacing/>
      </w:pPr>
      <w:r>
        <w:t xml:space="preserve">As per the </w:t>
      </w:r>
      <w:r w:rsidRPr="00E9435E">
        <w:t>Decision 19-08-009</w:t>
      </w:r>
      <w:r>
        <w:t xml:space="preserve">, for sites with on-site generation, fuel substitution measures will be treated as any other energy efficiency measure. Please refer to Appendix B for details. </w:t>
      </w:r>
    </w:p>
    <w:p w14:paraId="5D449A2F" w14:textId="52738A75" w:rsidR="00432972" w:rsidRDefault="00432972" w:rsidP="00D10656">
      <w:pPr>
        <w:contextualSpacing/>
      </w:pPr>
    </w:p>
    <w:p w14:paraId="025D79BB" w14:textId="62749297" w:rsidR="00485877" w:rsidRDefault="647FE887" w:rsidP="00D10656">
      <w:pPr>
        <w:contextualSpacing/>
      </w:pPr>
      <w:r>
        <w:t xml:space="preserve">For </w:t>
      </w:r>
      <w:r w:rsidR="01648373">
        <w:t xml:space="preserve">a fuel substitution measure, the site </w:t>
      </w:r>
      <w:r w:rsidR="59EF5BE3">
        <w:t xml:space="preserve">energy savings </w:t>
      </w:r>
      <w:r w:rsidR="00485877">
        <w:t>are expressed as</w:t>
      </w:r>
      <w:r w:rsidR="154A4986">
        <w:t xml:space="preserve"> </w:t>
      </w:r>
      <w:r w:rsidR="768CA1FF">
        <w:t xml:space="preserve">the </w:t>
      </w:r>
      <w:r w:rsidR="7F52EDFF">
        <w:t>kW</w:t>
      </w:r>
      <w:r w:rsidR="285F9735">
        <w:t>h or</w:t>
      </w:r>
      <w:r w:rsidR="285F9735" w:rsidRPr="6ED2323A">
        <w:t xml:space="preserve"> </w:t>
      </w:r>
      <w:proofErr w:type="spellStart"/>
      <w:r w:rsidR="285F9735">
        <w:t>Therm</w:t>
      </w:r>
      <w:proofErr w:type="spellEnd"/>
      <w:r w:rsidR="285F9735" w:rsidRPr="6ED2323A">
        <w:t xml:space="preserve"> </w:t>
      </w:r>
      <w:r w:rsidR="7C2CC160">
        <w:t xml:space="preserve">savings </w:t>
      </w:r>
      <w:r w:rsidR="35F59D15">
        <w:t>of the displaced or</w:t>
      </w:r>
      <w:r w:rsidR="17A0F795">
        <w:t>i</w:t>
      </w:r>
      <w:r w:rsidR="287008BE">
        <w:t>ginal fuel baseline technology</w:t>
      </w:r>
      <w:r w:rsidR="6AB3B439" w:rsidRPr="6ED2323A">
        <w:t xml:space="preserve"> </w:t>
      </w:r>
      <w:r w:rsidR="075FF44C" w:rsidRPr="075FF44C">
        <w:t xml:space="preserve">and the </w:t>
      </w:r>
      <w:r w:rsidR="2BC36DBA" w:rsidRPr="2BC36DBA">
        <w:t>incr</w:t>
      </w:r>
      <w:r w:rsidR="58E542DD" w:rsidRPr="1324BE18">
        <w:t>e</w:t>
      </w:r>
      <w:r w:rsidR="1324BE18" w:rsidRPr="1324BE18">
        <w:t xml:space="preserve">ased kWh or </w:t>
      </w:r>
      <w:proofErr w:type="spellStart"/>
      <w:r w:rsidR="1324BE18" w:rsidRPr="1324BE18">
        <w:t>Therm</w:t>
      </w:r>
      <w:proofErr w:type="spellEnd"/>
      <w:r w:rsidR="1324BE18" w:rsidRPr="6ED2323A">
        <w:t xml:space="preserve"> </w:t>
      </w:r>
      <w:r w:rsidR="112737FE">
        <w:t>consum</w:t>
      </w:r>
      <w:r w:rsidR="31B9C7D7">
        <w:t xml:space="preserve">ption </w:t>
      </w:r>
      <w:r w:rsidR="58E542DD">
        <w:t>from the substituted new fuel measure technology.</w:t>
      </w:r>
      <w:r w:rsidR="00432972" w:rsidRPr="6ED2323A">
        <w:t xml:space="preserve"> </w:t>
      </w:r>
    </w:p>
    <w:p w14:paraId="2D288B11" w14:textId="77777777" w:rsidR="00CC2440" w:rsidRDefault="00CC2440" w:rsidP="00D10656">
      <w:pPr>
        <w:contextualSpacing/>
      </w:pPr>
    </w:p>
    <w:p w14:paraId="6A8FF4E1" w14:textId="3B88DA84" w:rsidR="006A7195" w:rsidRDefault="00485877" w:rsidP="00D10656">
      <w:pPr>
        <w:ind w:left="720"/>
      </w:pPr>
      <w:r>
        <w:t xml:space="preserve">Example: </w:t>
      </w:r>
      <w:r w:rsidR="00432972" w:rsidRPr="00E9435E">
        <w:t xml:space="preserve">if a natural gas </w:t>
      </w:r>
      <w:r>
        <w:t xml:space="preserve">baseline </w:t>
      </w:r>
      <w:r w:rsidR="00432972" w:rsidRPr="00E9435E">
        <w:t>technology is replaced by an electric</w:t>
      </w:r>
      <w:r>
        <w:t xml:space="preserve"> measure</w:t>
      </w:r>
      <w:r w:rsidR="00432972" w:rsidRPr="00E9435E">
        <w:t xml:space="preserve"> technology, the </w:t>
      </w:r>
      <w:r>
        <w:t xml:space="preserve">site </w:t>
      </w:r>
      <w:r w:rsidR="00432972" w:rsidRPr="00E9435E">
        <w:t>energy savings</w:t>
      </w:r>
      <w:r w:rsidR="00432972">
        <w:t xml:space="preserve"> </w:t>
      </w:r>
      <w:r w:rsidR="00432972" w:rsidRPr="00373ECF">
        <w:t>is represented as an increase</w:t>
      </w:r>
      <w:r w:rsidR="006A7195">
        <w:t xml:space="preserve"> in</w:t>
      </w:r>
      <w:r w:rsidR="00432972">
        <w:t xml:space="preserve"> </w:t>
      </w:r>
      <w:r w:rsidR="00432972" w:rsidRPr="00373ECF">
        <w:t xml:space="preserve">electric </w:t>
      </w:r>
      <w:r w:rsidR="00432972">
        <w:t xml:space="preserve">usage, in </w:t>
      </w:r>
      <w:r w:rsidR="00432972" w:rsidRPr="00373ECF">
        <w:t xml:space="preserve">kWh, </w:t>
      </w:r>
      <w:r w:rsidR="00432972" w:rsidRPr="00E9435E">
        <w:t xml:space="preserve">and as </w:t>
      </w:r>
      <w:r>
        <w:t>the</w:t>
      </w:r>
      <w:r w:rsidR="00432972">
        <w:t xml:space="preserve"> </w:t>
      </w:r>
      <w:r w:rsidR="00432972" w:rsidRPr="00E9435E">
        <w:t>decrease</w:t>
      </w:r>
      <w:r w:rsidR="006A7195">
        <w:t xml:space="preserve"> in </w:t>
      </w:r>
      <w:r w:rsidR="00432972" w:rsidRPr="00E9435E">
        <w:t xml:space="preserve">natural gas </w:t>
      </w:r>
      <w:r w:rsidR="006A7195">
        <w:t>usage</w:t>
      </w:r>
      <w:r w:rsidR="00432972" w:rsidRPr="00E9435E">
        <w:t xml:space="preserve">, </w:t>
      </w:r>
      <w:r w:rsidR="00432972">
        <w:t xml:space="preserve">in </w:t>
      </w:r>
      <w:r w:rsidR="375E0D6C">
        <w:t>T</w:t>
      </w:r>
      <w:r w:rsidR="00432972" w:rsidRPr="00E9435E">
        <w:t>herm</w:t>
      </w:r>
      <w:r w:rsidR="00432972" w:rsidRPr="6ED2323A">
        <w:t>.</w:t>
      </w:r>
      <w:r w:rsidR="264EE236" w:rsidRPr="264EE236">
        <w:t xml:space="preserve"> </w:t>
      </w:r>
    </w:p>
    <w:p w14:paraId="7D3DB6BE" w14:textId="77777777" w:rsidR="006A7195" w:rsidRDefault="006A7195" w:rsidP="006A7195"/>
    <w:p w14:paraId="6FB2E68A" w14:textId="3E8FDAD1" w:rsidR="00432972" w:rsidRDefault="006A7195" w:rsidP="006A7195">
      <w:r>
        <w:t>W</w:t>
      </w:r>
      <w:r w:rsidR="264EE236" w:rsidRPr="264EE236">
        <w:t>hen per</w:t>
      </w:r>
      <w:r w:rsidR="582F5452" w:rsidRPr="582F5452">
        <w:t>forming the cost effec</w:t>
      </w:r>
      <w:r w:rsidR="6C4170F1" w:rsidRPr="6C4170F1">
        <w:t>tiv</w:t>
      </w:r>
      <w:r w:rsidR="20BA9127" w:rsidRPr="6C4170F1">
        <w:t>e</w:t>
      </w:r>
      <w:r w:rsidR="6C4170F1" w:rsidRPr="6C4170F1">
        <w:t>ness calculations described i</w:t>
      </w:r>
      <w:r w:rsidR="02796C74" w:rsidRPr="02796C74">
        <w:t xml:space="preserve">n Step </w:t>
      </w:r>
      <w:r w:rsidR="00AA7C1C">
        <w:t>5</w:t>
      </w:r>
      <w:r w:rsidR="1217E232" w:rsidRPr="6ED2323A">
        <w:t xml:space="preserve">, </w:t>
      </w:r>
      <w:r w:rsidR="07FA36B4" w:rsidRPr="02796C74">
        <w:t>input</w:t>
      </w:r>
      <w:r w:rsidR="777B6CC4" w:rsidRPr="02796C74">
        <w:t xml:space="preserve"> a</w:t>
      </w:r>
      <w:r w:rsidR="6A2A2B02" w:rsidRPr="02796C74">
        <w:t xml:space="preserve"> pos</w:t>
      </w:r>
      <w:r w:rsidR="37E4DCB5" w:rsidRPr="02796C74">
        <w:t>i</w:t>
      </w:r>
      <w:r w:rsidR="6A2A2B02" w:rsidRPr="02796C74">
        <w:t xml:space="preserve">tive value for the </w:t>
      </w:r>
      <w:r w:rsidR="25D9522D" w:rsidRPr="02796C74">
        <w:t>original fu</w:t>
      </w:r>
      <w:r w:rsidR="48F99CBC" w:rsidRPr="02796C74">
        <w:t>el net savings and</w:t>
      </w:r>
      <w:r w:rsidR="785F22D5" w:rsidRPr="02796C74">
        <w:t xml:space="preserve"> a negative </w:t>
      </w:r>
      <w:r w:rsidR="00810BD0">
        <w:t xml:space="preserve">or positive </w:t>
      </w:r>
      <w:r w:rsidR="785F22D5" w:rsidRPr="02796C74">
        <w:t xml:space="preserve">value for the new fuel </w:t>
      </w:r>
      <w:r w:rsidR="5681A129" w:rsidRPr="02796C74">
        <w:t>net savings.</w:t>
      </w:r>
      <w:r w:rsidR="1B713ED5" w:rsidRPr="02796C74">
        <w:t xml:space="preserve"> This process is</w:t>
      </w:r>
      <w:r w:rsidR="77B84457" w:rsidRPr="6ED2323A">
        <w:t xml:space="preserve"> </w:t>
      </w:r>
      <w:proofErr w:type="gramStart"/>
      <w:r w:rsidR="77B84457" w:rsidRPr="02796C74">
        <w:t>similar to</w:t>
      </w:r>
      <w:proofErr w:type="gramEnd"/>
      <w:r w:rsidR="77B84457" w:rsidRPr="02796C74">
        <w:t xml:space="preserve"> energy effi</w:t>
      </w:r>
      <w:r w:rsidR="761550B9" w:rsidRPr="02796C74">
        <w:t>cie</w:t>
      </w:r>
      <w:r w:rsidR="77B84457" w:rsidRPr="02796C74">
        <w:t>nc</w:t>
      </w:r>
      <w:r w:rsidR="182EDFB0" w:rsidRPr="02796C74">
        <w:t>y measures with “intera</w:t>
      </w:r>
      <w:r w:rsidR="7799BF25" w:rsidRPr="02796C74">
        <w:t>c</w:t>
      </w:r>
      <w:r w:rsidR="182EDFB0" w:rsidRPr="02796C74">
        <w:t>tive effects</w:t>
      </w:r>
      <w:r w:rsidR="182EDFB0" w:rsidRPr="6ED2323A">
        <w:t>”</w:t>
      </w:r>
      <w:r w:rsidR="182EDFB0" w:rsidRPr="02796C74">
        <w:t xml:space="preserve">, such as </w:t>
      </w:r>
      <w:r w:rsidR="7799BF25" w:rsidRPr="02796C74">
        <w:t>a hig</w:t>
      </w:r>
      <w:r w:rsidR="6D82175E" w:rsidRPr="02796C74">
        <w:t>h efficiency light bulb</w:t>
      </w:r>
      <w:r w:rsidR="4C7F757B" w:rsidRPr="02796C74">
        <w:t xml:space="preserve"> which </w:t>
      </w:r>
      <w:r w:rsidR="2C8B14A6" w:rsidRPr="02796C74">
        <w:t>de</w:t>
      </w:r>
      <w:r w:rsidR="4E9D9879" w:rsidRPr="02796C74">
        <w:t xml:space="preserve">creases kWh and </w:t>
      </w:r>
      <w:r w:rsidR="74791AB6" w:rsidRPr="02796C74">
        <w:t xml:space="preserve">increases </w:t>
      </w:r>
      <w:proofErr w:type="spellStart"/>
      <w:r w:rsidR="477FB288" w:rsidRPr="02796C74">
        <w:t>T</w:t>
      </w:r>
      <w:r w:rsidR="74791AB6" w:rsidRPr="02796C74">
        <w:t>herm</w:t>
      </w:r>
      <w:proofErr w:type="spellEnd"/>
      <w:r w:rsidR="5A45CF42" w:rsidRPr="02796C74">
        <w:t xml:space="preserve"> usage due to greater space heating </w:t>
      </w:r>
      <w:r w:rsidR="36067345" w:rsidRPr="02796C74">
        <w:t>needs</w:t>
      </w:r>
      <w:r w:rsidR="00432972" w:rsidRPr="00E9435E">
        <w:t>.</w:t>
      </w:r>
    </w:p>
    <w:p w14:paraId="4F7F5C9C" w14:textId="0B2D672E" w:rsidR="00AB2BFB" w:rsidRDefault="00AB2BFB" w:rsidP="006A7195"/>
    <w:p w14:paraId="67DC0163" w14:textId="06828298" w:rsidR="00AB2BFB" w:rsidRPr="00AB2BFB" w:rsidRDefault="00AB2BFB" w:rsidP="0091403B">
      <w:pPr>
        <w:pStyle w:val="Heading3"/>
      </w:pPr>
      <w:bookmarkStart w:id="27" w:name="_Toc23249995"/>
      <w:r>
        <w:t>2.2 Source Energy Calculations</w:t>
      </w:r>
      <w:bookmarkEnd w:id="27"/>
    </w:p>
    <w:p w14:paraId="7E821A5F" w14:textId="77777777" w:rsidR="001D1C11" w:rsidRPr="00E9435E" w:rsidRDefault="001D1C11" w:rsidP="00E9435E"/>
    <w:p w14:paraId="43EC893E" w14:textId="61D6FB6A" w:rsidR="006A7195" w:rsidRDefault="00127A73" w:rsidP="00127A73">
      <w:r w:rsidRPr="009A41C3">
        <w:rPr>
          <w:rFonts w:asciiTheme="minorHAnsi" w:hAnsiTheme="minorHAnsi"/>
        </w:rPr>
        <w:t xml:space="preserve">Part </w:t>
      </w:r>
      <w:r w:rsidR="0008474D">
        <w:rPr>
          <w:rFonts w:asciiTheme="minorHAnsi" w:hAnsiTheme="minorHAnsi"/>
        </w:rPr>
        <w:t>One</w:t>
      </w:r>
      <w:r w:rsidRPr="009A41C3">
        <w:rPr>
          <w:rFonts w:asciiTheme="minorHAnsi" w:hAnsiTheme="minorHAnsi"/>
        </w:rPr>
        <w:t xml:space="preserve"> of the </w:t>
      </w:r>
      <w:r w:rsidR="1A3641FA" w:rsidRPr="660A0B8C">
        <w:rPr>
          <w:rFonts w:asciiTheme="minorHAnsi" w:hAnsiTheme="minorHAnsi"/>
        </w:rPr>
        <w:t>fuel substit</w:t>
      </w:r>
      <w:r w:rsidR="1A6A9E23" w:rsidRPr="660A0B8C">
        <w:rPr>
          <w:rFonts w:asciiTheme="minorHAnsi" w:hAnsiTheme="minorHAnsi"/>
        </w:rPr>
        <w:t>ution t</w:t>
      </w:r>
      <w:r w:rsidRPr="009A41C3">
        <w:rPr>
          <w:rFonts w:asciiTheme="minorHAnsi" w:hAnsiTheme="minorHAnsi"/>
        </w:rPr>
        <w:t>est requires that the fuel substitution measure reduces source energy consumption</w:t>
      </w:r>
      <w:r w:rsidR="6394D537" w:rsidRPr="660A0B8C">
        <w:rPr>
          <w:rFonts w:asciiTheme="minorHAnsi" w:hAnsiTheme="minorHAnsi"/>
        </w:rPr>
        <w:t xml:space="preserve">, </w:t>
      </w:r>
      <w:r w:rsidR="006A7195">
        <w:rPr>
          <w:rFonts w:asciiTheme="minorHAnsi" w:hAnsiTheme="minorHAnsi"/>
        </w:rPr>
        <w:t>expressed in</w:t>
      </w:r>
      <w:r w:rsidR="6394D537" w:rsidRPr="660A0B8C">
        <w:rPr>
          <w:rFonts w:asciiTheme="minorHAnsi" w:hAnsiTheme="minorHAnsi"/>
        </w:rPr>
        <w:t xml:space="preserve"> </w:t>
      </w:r>
      <w:r w:rsidR="7C113C0B" w:rsidRPr="660A0B8C">
        <w:rPr>
          <w:rFonts w:asciiTheme="minorHAnsi" w:hAnsiTheme="minorHAnsi"/>
        </w:rPr>
        <w:t>BTUs</w:t>
      </w:r>
      <w:r w:rsidRPr="660A0B8C">
        <w:rPr>
          <w:rFonts w:asciiTheme="minorHAnsi" w:hAnsiTheme="minorHAnsi"/>
        </w:rPr>
        <w:t>.</w:t>
      </w:r>
      <w:r w:rsidRPr="009A41C3">
        <w:rPr>
          <w:rFonts w:asciiTheme="minorHAnsi" w:hAnsiTheme="minorHAnsi"/>
        </w:rPr>
        <w:t xml:space="preserve"> </w:t>
      </w:r>
      <w:r w:rsidRPr="00B53B7B">
        <w:t>Life-cycle source energy of</w:t>
      </w:r>
      <w:r w:rsidR="07C51273" w:rsidRPr="00B53B7B">
        <w:t xml:space="preserve"> a measure </w:t>
      </w:r>
      <w:r w:rsidRPr="00B53B7B">
        <w:t xml:space="preserve">is the source energy </w:t>
      </w:r>
      <w:r w:rsidR="49ACE471" w:rsidRPr="00B53B7B">
        <w:t xml:space="preserve">used </w:t>
      </w:r>
      <w:r w:rsidRPr="00B53B7B">
        <w:t xml:space="preserve">over the effective useful life (EUL) of the technology. To pass </w:t>
      </w:r>
      <w:r w:rsidR="0008474D">
        <w:t>Part One</w:t>
      </w:r>
      <w:r w:rsidRPr="00B53B7B">
        <w:t xml:space="preserve"> of the </w:t>
      </w:r>
      <w:r w:rsidR="7E028462" w:rsidRPr="00B53B7B">
        <w:t>fuel sub</w:t>
      </w:r>
      <w:r w:rsidR="36A62E86" w:rsidRPr="00B53B7B">
        <w:t>stitution</w:t>
      </w:r>
      <w:r w:rsidR="7E028462" w:rsidRPr="36953548">
        <w:t xml:space="preserve"> </w:t>
      </w:r>
      <w:r w:rsidRPr="00B53B7B">
        <w:t>test, the life-cycle source</w:t>
      </w:r>
      <w:r w:rsidRPr="00E9435E">
        <w:t xml:space="preserve"> energy </w:t>
      </w:r>
      <w:r w:rsidR="7755F726" w:rsidRPr="00E9435E">
        <w:t>consumption</w:t>
      </w:r>
      <w:r w:rsidR="4E81A3F8" w:rsidRPr="36953548">
        <w:t xml:space="preserve"> </w:t>
      </w:r>
      <w:r w:rsidRPr="00E9435E">
        <w:t xml:space="preserve">of the measure technology must be lower than the life-cycle source energy </w:t>
      </w:r>
      <w:r w:rsidR="31BFAF41" w:rsidRPr="00E9435E">
        <w:t>consumption</w:t>
      </w:r>
      <w:r w:rsidR="31BFAF41" w:rsidRPr="36953548">
        <w:t xml:space="preserve"> </w:t>
      </w:r>
      <w:r w:rsidRPr="00E9435E">
        <w:t>of the baseline technology</w:t>
      </w:r>
      <w:r w:rsidR="0054621E">
        <w:t>.</w:t>
      </w:r>
      <w:r w:rsidRPr="009028BB">
        <w:rPr>
          <w:vertAlign w:val="superscript"/>
        </w:rPr>
        <w:footnoteReference w:id="14"/>
      </w:r>
      <w:r w:rsidRPr="00E9435E">
        <w:t xml:space="preserve"> In other words, </w:t>
      </w:r>
      <w:r w:rsidR="0054621E">
        <w:t xml:space="preserve">fuel substitution measures should produce positive </w:t>
      </w:r>
      <w:r w:rsidRPr="00E9435E">
        <w:t xml:space="preserve">life-cycle source energy savings. </w:t>
      </w:r>
    </w:p>
    <w:p w14:paraId="6E697324" w14:textId="77777777" w:rsidR="006A7195" w:rsidRDefault="006A7195" w:rsidP="00127A73"/>
    <w:p w14:paraId="71AAD65B" w14:textId="6459F9B2" w:rsidR="00127A73" w:rsidRPr="00D10656" w:rsidRDefault="1A7A4563" w:rsidP="00127A73">
      <w:pPr>
        <w:rPr>
          <w:highlight w:val="yellow"/>
        </w:rPr>
      </w:pPr>
      <w:r w:rsidRPr="00E9435E">
        <w:t>Prog</w:t>
      </w:r>
      <w:r w:rsidR="088B406C" w:rsidRPr="00E9435E">
        <w:t>ram developers must demonstrate that the life-</w:t>
      </w:r>
      <w:r w:rsidR="56C82BAF" w:rsidRPr="00E9435E">
        <w:t>cycle source energy savings of t</w:t>
      </w:r>
      <w:r w:rsidR="29A50ED2" w:rsidRPr="00E9435E">
        <w:t xml:space="preserve">heir measure is positive </w:t>
      </w:r>
      <w:r w:rsidR="03209E73" w:rsidRPr="00E9435E">
        <w:t>t</w:t>
      </w:r>
      <w:r w:rsidR="757DE6AA" w:rsidRPr="00E9435E">
        <w:t xml:space="preserve">hrough </w:t>
      </w:r>
      <w:r w:rsidR="03209E73" w:rsidRPr="00E9435E">
        <w:t xml:space="preserve">the CPUC workpaper </w:t>
      </w:r>
      <w:r w:rsidR="03CFCF1E" w:rsidRPr="00E9435E">
        <w:t xml:space="preserve">process, using the </w:t>
      </w:r>
      <w:r w:rsidR="4A45CEBA" w:rsidRPr="00E9435E">
        <w:t>fuel substitution calculator</w:t>
      </w:r>
      <w:r w:rsidR="0064B872" w:rsidRPr="00E9435E">
        <w:t>.</w:t>
      </w:r>
    </w:p>
    <w:p w14:paraId="6B5B86F6" w14:textId="63871E00" w:rsidR="36953548" w:rsidRPr="00D10656" w:rsidRDefault="36953548">
      <w:pPr>
        <w:rPr>
          <w:highlight w:val="yellow"/>
        </w:rPr>
      </w:pPr>
    </w:p>
    <w:p w14:paraId="08F4DA11" w14:textId="32D83553" w:rsidR="36953548" w:rsidRDefault="1788A8D5" w:rsidP="00D10656">
      <w:pPr>
        <w:jc w:val="both"/>
      </w:pPr>
      <w:r>
        <w:t>To calc</w:t>
      </w:r>
      <w:r w:rsidR="5EB17B0B">
        <w:t xml:space="preserve">ulate source </w:t>
      </w:r>
      <w:r w:rsidR="0857F05E">
        <w:t xml:space="preserve">energy savings, program developers </w:t>
      </w:r>
      <w:r w:rsidR="00241632">
        <w:t>must use</w:t>
      </w:r>
      <w:r w:rsidR="18ED84CA">
        <w:t xml:space="preserve"> the </w:t>
      </w:r>
      <w:r w:rsidR="00241632">
        <w:t>F</w:t>
      </w:r>
      <w:r w:rsidR="18ED84CA">
        <w:t xml:space="preserve">uel </w:t>
      </w:r>
      <w:r w:rsidR="00241632">
        <w:t>S</w:t>
      </w:r>
      <w:r w:rsidR="18ED84CA">
        <w:t xml:space="preserve">ubstitution </w:t>
      </w:r>
      <w:r w:rsidR="00241632">
        <w:t>C</w:t>
      </w:r>
      <w:r w:rsidR="18ED84CA">
        <w:t>alculator avai</w:t>
      </w:r>
      <w:r w:rsidR="5777CC08">
        <w:t>l</w:t>
      </w:r>
      <w:r w:rsidR="18ED84CA">
        <w:t>ab</w:t>
      </w:r>
      <w:r w:rsidR="399445CD">
        <w:t xml:space="preserve">le at: </w:t>
      </w:r>
      <w:hyperlink r:id="rId17" w:history="1">
        <w:r w:rsidR="007C06CA" w:rsidRPr="007C06CA">
          <w:rPr>
            <w:rStyle w:val="Hyperlink"/>
          </w:rPr>
          <w:t>https://www.cpuc.ca.gov/General.aspx?id=6442463306</w:t>
        </w:r>
      </w:hyperlink>
      <w:r w:rsidR="2C5EA3D5" w:rsidRPr="007C06CA">
        <w:rPr>
          <w:i/>
          <w:iCs/>
        </w:rPr>
        <w:t xml:space="preserve">. </w:t>
      </w:r>
      <w:r w:rsidR="008F1F09" w:rsidRPr="007C06CA">
        <w:t>I</w:t>
      </w:r>
      <w:r w:rsidR="4AB79A2B" w:rsidRPr="007C06CA">
        <w:t>nstructions</w:t>
      </w:r>
      <w:r w:rsidR="4AB79A2B" w:rsidRPr="2BF65267">
        <w:t xml:space="preserve"> </w:t>
      </w:r>
      <w:r w:rsidR="008F1F09">
        <w:t>are found in</w:t>
      </w:r>
      <w:r w:rsidR="4AB79A2B" w:rsidRPr="2BF65267">
        <w:t xml:space="preserve"> the “Introduction</w:t>
      </w:r>
      <w:r w:rsidR="2F557326" w:rsidRPr="2BF65267">
        <w:t xml:space="preserve">” tab of </w:t>
      </w:r>
      <w:r w:rsidR="78BD75C9" w:rsidRPr="2BF65267">
        <w:t xml:space="preserve">the calculator. After entering </w:t>
      </w:r>
      <w:r w:rsidR="4CB5DA55" w:rsidRPr="2BF65267">
        <w:t xml:space="preserve">user-provided inputs in </w:t>
      </w:r>
      <w:r w:rsidR="00195C6C">
        <w:t>S</w:t>
      </w:r>
      <w:r w:rsidR="35BFB77D" w:rsidRPr="2BF65267">
        <w:t>e</w:t>
      </w:r>
      <w:r w:rsidR="4FD21FCD" w:rsidRPr="2BF65267">
        <w:t>c</w:t>
      </w:r>
      <w:r w:rsidR="35BFB77D" w:rsidRPr="2BF65267">
        <w:t xml:space="preserve">tion </w:t>
      </w:r>
      <w:r w:rsidR="00195C6C">
        <w:t>O</w:t>
      </w:r>
      <w:r w:rsidR="35BFB77D" w:rsidRPr="2BF65267">
        <w:t xml:space="preserve">ne of </w:t>
      </w:r>
      <w:r w:rsidR="740D4F35" w:rsidRPr="2BF65267">
        <w:t>“Fu</w:t>
      </w:r>
      <w:r w:rsidR="221A3D71" w:rsidRPr="2BF65267">
        <w:t xml:space="preserve">el Sub Calcs” tab, </w:t>
      </w:r>
      <w:r w:rsidR="54AD8224" w:rsidRPr="2BF65267">
        <w:t xml:space="preserve">the </w:t>
      </w:r>
      <w:r w:rsidR="008F1F09">
        <w:t>F</w:t>
      </w:r>
      <w:r w:rsidR="781C2424" w:rsidRPr="2BF65267">
        <w:t xml:space="preserve">uel </w:t>
      </w:r>
      <w:r w:rsidR="008F1F09">
        <w:t>S</w:t>
      </w:r>
      <w:r w:rsidR="781C2424" w:rsidRPr="2BF65267">
        <w:t xml:space="preserve">ubstitution </w:t>
      </w:r>
      <w:r w:rsidR="008F1F09">
        <w:t>C</w:t>
      </w:r>
      <w:r w:rsidR="781C2424" w:rsidRPr="2BF65267">
        <w:t xml:space="preserve">alculator </w:t>
      </w:r>
      <w:r w:rsidR="3818545D" w:rsidRPr="2BF65267">
        <w:t>calculates</w:t>
      </w:r>
      <w:r w:rsidR="781C2424" w:rsidRPr="2BF65267">
        <w:t xml:space="preserve"> </w:t>
      </w:r>
      <w:r w:rsidR="40E60BE4" w:rsidRPr="2BF65267">
        <w:t xml:space="preserve">the measure’s </w:t>
      </w:r>
      <w:r w:rsidR="00881CC9">
        <w:t>life-cycle</w:t>
      </w:r>
      <w:r w:rsidR="211FD2B5" w:rsidRPr="2BF65267">
        <w:t xml:space="preserve"> </w:t>
      </w:r>
      <w:r w:rsidR="2E9CC15E" w:rsidRPr="2BF65267">
        <w:t>source energy savings</w:t>
      </w:r>
      <w:r w:rsidR="529FBD52" w:rsidRPr="2BF65267">
        <w:t xml:space="preserve"> in section two. </w:t>
      </w:r>
      <w:r w:rsidR="16773F22" w:rsidRPr="2BF65267">
        <w:t xml:space="preserve">Section </w:t>
      </w:r>
      <w:r w:rsidR="00195C6C">
        <w:t>T</w:t>
      </w:r>
      <w:r w:rsidR="16773F22" w:rsidRPr="2BF65267">
        <w:t xml:space="preserve">wo also </w:t>
      </w:r>
      <w:r w:rsidR="67E430EC" w:rsidRPr="2BF65267">
        <w:t>include</w:t>
      </w:r>
      <w:r w:rsidR="006A7195">
        <w:t>s</w:t>
      </w:r>
      <w:r w:rsidR="67E430EC" w:rsidRPr="2BF65267">
        <w:t xml:space="preserve"> </w:t>
      </w:r>
      <w:r w:rsidR="3E7DB724" w:rsidRPr="2BF65267">
        <w:t>a fie</w:t>
      </w:r>
      <w:r w:rsidR="236C02B1" w:rsidRPr="2BF65267">
        <w:t>ld which</w:t>
      </w:r>
      <w:r w:rsidR="3E7DB724" w:rsidRPr="2BF65267">
        <w:t xml:space="preserve"> s</w:t>
      </w:r>
      <w:r w:rsidR="23C7914C" w:rsidRPr="2BF65267">
        <w:t>tates if</w:t>
      </w:r>
      <w:r w:rsidR="32156C9D" w:rsidRPr="2BF65267">
        <w:t xml:space="preserve"> </w:t>
      </w:r>
      <w:r w:rsidR="23C7914C" w:rsidRPr="2BF65267">
        <w:t>the</w:t>
      </w:r>
      <w:r w:rsidR="2BF65267" w:rsidRPr="2BF65267">
        <w:t xml:space="preserve"> m</w:t>
      </w:r>
      <w:r w:rsidR="22BB8670" w:rsidRPr="2BF65267">
        <w:t xml:space="preserve">easure passes </w:t>
      </w:r>
      <w:r w:rsidR="0ADDD304" w:rsidRPr="2BF65267">
        <w:t xml:space="preserve">or fails </w:t>
      </w:r>
      <w:r w:rsidR="0008474D">
        <w:t>Part One</w:t>
      </w:r>
      <w:r w:rsidR="0ADDD304" w:rsidRPr="2BF65267">
        <w:t xml:space="preserve"> of the </w:t>
      </w:r>
      <w:r w:rsidR="1A121A10" w:rsidRPr="2BF65267">
        <w:t>fuel substitution test.</w:t>
      </w:r>
    </w:p>
    <w:p w14:paraId="3D18E03C" w14:textId="3FABF3CA" w:rsidR="00127A73" w:rsidRDefault="00127A73" w:rsidP="00D10656">
      <w:pPr>
        <w:jc w:val="both"/>
      </w:pPr>
    </w:p>
    <w:p w14:paraId="70C2BCE9" w14:textId="3CEC6106" w:rsidR="00127A73" w:rsidRPr="00D10656" w:rsidRDefault="494FEC4B" w:rsidP="00D10656">
      <w:pPr>
        <w:jc w:val="both"/>
        <w:rPr>
          <w:i/>
        </w:rPr>
      </w:pPr>
      <w:r>
        <w:t>A</w:t>
      </w:r>
      <w:r w:rsidR="048F7324">
        <w:t xml:space="preserve">ppendix A describes the </w:t>
      </w:r>
      <w:r w:rsidR="4D9712AB">
        <w:t>meth</w:t>
      </w:r>
      <w:r w:rsidR="51D5422A">
        <w:t>o</w:t>
      </w:r>
      <w:r w:rsidR="4D9712AB">
        <w:t>dol</w:t>
      </w:r>
      <w:r w:rsidR="19F5E0B0">
        <w:t>ogy for calculating</w:t>
      </w:r>
      <w:r w:rsidR="51D5422A">
        <w:t xml:space="preserve"> source energy</w:t>
      </w:r>
      <w:r w:rsidR="7193ECBD" w:rsidRPr="195DBE66">
        <w:t>.</w:t>
      </w:r>
      <w:r w:rsidR="5258738A">
        <w:t xml:space="preserve"> </w:t>
      </w:r>
      <w:r w:rsidR="459CD6F6">
        <w:t>Br</w:t>
      </w:r>
      <w:r w:rsidR="58A410FC">
        <w:t>ie</w:t>
      </w:r>
      <w:r w:rsidR="459CD6F6">
        <w:t>fly</w:t>
      </w:r>
      <w:r w:rsidR="459CD6F6" w:rsidRPr="40582911">
        <w:t xml:space="preserve">, </w:t>
      </w:r>
      <w:r w:rsidR="40582911" w:rsidRPr="40582911">
        <w:t>th</w:t>
      </w:r>
      <w:r w:rsidR="03F02FE8" w:rsidRPr="40582911">
        <w:t xml:space="preserve">e </w:t>
      </w:r>
      <w:r w:rsidR="40B9D7F3" w:rsidRPr="40582911">
        <w:t xml:space="preserve">fuel substitution </w:t>
      </w:r>
      <w:r w:rsidR="03F02FE8" w:rsidRPr="40582911">
        <w:t xml:space="preserve">calculator </w:t>
      </w:r>
      <w:r w:rsidR="0F86458D" w:rsidRPr="40582911">
        <w:t>co</w:t>
      </w:r>
      <w:r w:rsidR="6118ACAF" w:rsidRPr="40582911">
        <w:t xml:space="preserve">nverts </w:t>
      </w:r>
      <w:r w:rsidR="49B51CD9" w:rsidRPr="40582911">
        <w:t xml:space="preserve">site energy to source energy </w:t>
      </w:r>
      <w:r w:rsidR="336AF929" w:rsidRPr="40582911">
        <w:t xml:space="preserve">using </w:t>
      </w:r>
      <w:r w:rsidR="5730C911" w:rsidRPr="40582911">
        <w:t xml:space="preserve">yearly </w:t>
      </w:r>
      <w:r w:rsidR="1D2EC175" w:rsidRPr="40582911">
        <w:t>source energ</w:t>
      </w:r>
      <w:r w:rsidR="3E984477" w:rsidRPr="40582911">
        <w:t>y</w:t>
      </w:r>
      <w:r w:rsidR="2292DF0C" w:rsidRPr="40582911">
        <w:t xml:space="preserve"> factors.</w:t>
      </w:r>
      <w:r w:rsidR="006A7195">
        <w:t xml:space="preserve"> </w:t>
      </w:r>
      <w:r w:rsidR="3309EE46" w:rsidRPr="40582911">
        <w:t xml:space="preserve">The </w:t>
      </w:r>
      <w:r w:rsidR="52452CA8" w:rsidRPr="40582911">
        <w:t>ye</w:t>
      </w:r>
      <w:r w:rsidR="0A9ADDA1" w:rsidRPr="40582911">
        <w:t xml:space="preserve">arly </w:t>
      </w:r>
      <w:r w:rsidR="3E984477" w:rsidRPr="40582911">
        <w:t>source en</w:t>
      </w:r>
      <w:r w:rsidR="1CCD6CB5" w:rsidRPr="40582911">
        <w:t>ergy</w:t>
      </w:r>
      <w:r w:rsidR="0A9ADDA1" w:rsidRPr="40582911">
        <w:t xml:space="preserve"> factors</w:t>
      </w:r>
      <w:r w:rsidR="006A7195">
        <w:t xml:space="preserve"> were developed</w:t>
      </w:r>
      <w:r w:rsidR="00890C07">
        <w:t xml:space="preserve"> based on the 2017</w:t>
      </w:r>
      <w:r w:rsidR="0018300C">
        <w:t>-2018</w:t>
      </w:r>
      <w:r w:rsidR="00890C07">
        <w:t xml:space="preserve"> Reference System Plan adopted in </w:t>
      </w:r>
      <w:r w:rsidR="3918445A" w:rsidRPr="40582911">
        <w:t>the</w:t>
      </w:r>
      <w:r w:rsidR="24626A8A" w:rsidRPr="63798092">
        <w:t xml:space="preserve"> </w:t>
      </w:r>
      <w:r w:rsidR="0015002F">
        <w:t xml:space="preserve">CPUC </w:t>
      </w:r>
      <w:r w:rsidR="00127A73">
        <w:t>Integrated Resources P</w:t>
      </w:r>
      <w:r w:rsidR="0054621E">
        <w:t>l</w:t>
      </w:r>
      <w:r w:rsidR="00127A73">
        <w:t>anning (IRP) proceeding (Rulemaking (R.)16-02-007),</w:t>
      </w:r>
      <w:r w:rsidR="00127A73" w:rsidRPr="0067454F">
        <w:rPr>
          <w:vertAlign w:val="superscript"/>
        </w:rPr>
        <w:footnoteReference w:id="15"/>
      </w:r>
      <w:r w:rsidR="00127A73">
        <w:t xml:space="preserve"> and </w:t>
      </w:r>
      <w:r w:rsidR="00890C07">
        <w:t xml:space="preserve">extrapolated to 2045 based on assumptions to meet </w:t>
      </w:r>
      <w:r w:rsidR="00127A73">
        <w:t>California Senate Bill 100 (“SB</w:t>
      </w:r>
      <w:r w:rsidR="0054621E">
        <w:t xml:space="preserve"> </w:t>
      </w:r>
      <w:r w:rsidR="00127A73">
        <w:t>100”)</w:t>
      </w:r>
      <w:r w:rsidR="00890C07">
        <w:t xml:space="preserve"> targets</w:t>
      </w:r>
      <w:r w:rsidR="00127A73">
        <w:t xml:space="preserve">. </w:t>
      </w:r>
      <w:r w:rsidR="004929BA" w:rsidRPr="00D10656">
        <w:fldChar w:fldCharType="begin"/>
      </w:r>
      <w:r w:rsidR="004929BA">
        <w:instrText xml:space="preserve"> REF _Ref22145245  \* MERGEFORMAT </w:instrText>
      </w:r>
      <w:r w:rsidR="004929BA" w:rsidRPr="00D10656">
        <w:fldChar w:fldCharType="separate"/>
      </w:r>
      <w:r w:rsidR="004929BA" w:rsidRPr="004929BA">
        <w:t xml:space="preserve">Table </w:t>
      </w:r>
      <w:r w:rsidR="004929BA" w:rsidRPr="00D10656">
        <w:t>2</w:t>
      </w:r>
      <w:r w:rsidR="004929BA" w:rsidRPr="00D10656">
        <w:fldChar w:fldCharType="end"/>
      </w:r>
      <w:r w:rsidR="009A0F20">
        <w:t xml:space="preserve"> </w:t>
      </w:r>
      <w:r w:rsidR="00862C32">
        <w:t>below</w:t>
      </w:r>
      <w:r w:rsidR="00127A73">
        <w:t xml:space="preserve"> list</w:t>
      </w:r>
      <w:r w:rsidR="00862C32">
        <w:t>s</w:t>
      </w:r>
      <w:r w:rsidR="00127A73">
        <w:t xml:space="preserve"> the source energy </w:t>
      </w:r>
      <w:r w:rsidR="0054621E">
        <w:t xml:space="preserve">factors </w:t>
      </w:r>
      <w:r w:rsidR="00127A73">
        <w:t>for electricity over the years 2020 to 2049</w:t>
      </w:r>
      <w:r w:rsidR="00862C32">
        <w:t>, while</w:t>
      </w:r>
      <w:r w:rsidR="00127A73">
        <w:t xml:space="preserve"> </w:t>
      </w:r>
      <w:fldSimple w:instr=" REF _Ref22145505 ">
        <w:r w:rsidR="004929BA" w:rsidRPr="004929BA">
          <w:t xml:space="preserve">Table </w:t>
        </w:r>
        <w:r w:rsidR="004929BA" w:rsidRPr="004929BA">
          <w:rPr>
            <w:noProof/>
          </w:rPr>
          <w:t>3</w:t>
        </w:r>
      </w:fldSimple>
      <w:r w:rsidR="004929BA">
        <w:t xml:space="preserve"> </w:t>
      </w:r>
      <w:r w:rsidR="00127A73">
        <w:t xml:space="preserve">lists the source energy </w:t>
      </w:r>
      <w:r w:rsidR="0054621E">
        <w:t xml:space="preserve">factor </w:t>
      </w:r>
      <w:r w:rsidR="00127A73">
        <w:t>for natural gas</w:t>
      </w:r>
      <w:r w:rsidR="0054621E">
        <w:t>,</w:t>
      </w:r>
      <w:r w:rsidR="00127A73">
        <w:t xml:space="preserve"> which remains constant. </w:t>
      </w:r>
    </w:p>
    <w:p w14:paraId="79D62263" w14:textId="77777777" w:rsidR="00127A73" w:rsidRDefault="00127A73" w:rsidP="00127A73"/>
    <w:p w14:paraId="26F237F6" w14:textId="77F288C7" w:rsidR="00127A73" w:rsidRDefault="618EDCE3" w:rsidP="1D9A0257">
      <w:r>
        <w:t>To ca</w:t>
      </w:r>
      <w:r w:rsidR="7E8372B5">
        <w:t xml:space="preserve">lculate the </w:t>
      </w:r>
      <w:r w:rsidR="00881CC9">
        <w:t>life-cycle</w:t>
      </w:r>
      <w:r w:rsidR="2D750185">
        <w:t xml:space="preserve"> </w:t>
      </w:r>
      <w:r w:rsidR="7E8372B5">
        <w:t>source energy savings, the fuel substitut</w:t>
      </w:r>
      <w:r w:rsidR="1E322BA8">
        <w:t>i</w:t>
      </w:r>
      <w:r w:rsidR="7E8372B5">
        <w:t>on ca</w:t>
      </w:r>
      <w:r w:rsidR="497FAC54">
        <w:t>lculator multiplies</w:t>
      </w:r>
      <w:r w:rsidR="00386857">
        <w:t xml:space="preserve"> </w:t>
      </w:r>
      <w:r w:rsidR="00862C32">
        <w:t>annual</w:t>
      </w:r>
      <w:r w:rsidR="00862C32" w:rsidRPr="1D9A0257">
        <w:t xml:space="preserve"> </w:t>
      </w:r>
      <w:r w:rsidR="00127A73" w:rsidRPr="00E9435E">
        <w:t xml:space="preserve">source energy </w:t>
      </w:r>
      <w:r w:rsidR="00862C32">
        <w:t xml:space="preserve">factors from </w:t>
      </w:r>
      <w:fldSimple w:instr=" REF _Ref22145245 ">
        <w:r w:rsidR="004929BA" w:rsidRPr="004929BA">
          <w:t xml:space="preserve">Table </w:t>
        </w:r>
        <w:r w:rsidR="004929BA" w:rsidRPr="00D10656">
          <w:rPr>
            <w:noProof/>
          </w:rPr>
          <w:t>2</w:t>
        </w:r>
      </w:fldSimple>
      <w:r w:rsidR="004929BA">
        <w:t xml:space="preserve"> </w:t>
      </w:r>
      <w:r w:rsidR="00862C32">
        <w:t>and</w:t>
      </w:r>
      <w:r w:rsidR="004929BA">
        <w:t xml:space="preserve"> </w:t>
      </w:r>
      <w:fldSimple w:instr=" REF _Ref22145505 ">
        <w:r w:rsidR="004929BA" w:rsidRPr="004929BA">
          <w:t xml:space="preserve">Table </w:t>
        </w:r>
        <w:r w:rsidR="004929BA" w:rsidRPr="004929BA">
          <w:rPr>
            <w:noProof/>
          </w:rPr>
          <w:t>3</w:t>
        </w:r>
      </w:fldSimple>
      <w:r w:rsidR="00862C32" w:rsidRPr="1D9A0257">
        <w:t xml:space="preserve"> </w:t>
      </w:r>
      <w:r w:rsidR="00127A73" w:rsidRPr="1D9A0257">
        <w:t>(</w:t>
      </w:r>
      <w:r w:rsidR="00862C32">
        <w:t xml:space="preserve">in </w:t>
      </w:r>
      <w:r w:rsidR="00127A73" w:rsidRPr="00E9435E">
        <w:t>BTU/kWh and BTU/</w:t>
      </w:r>
      <w:proofErr w:type="spellStart"/>
      <w:r w:rsidR="002A12B2">
        <w:t>Therm</w:t>
      </w:r>
      <w:proofErr w:type="spellEnd"/>
      <w:r w:rsidR="00862C32">
        <w:t xml:space="preserve"> respectively, for electricity and natural gas</w:t>
      </w:r>
      <w:r w:rsidR="00127A73" w:rsidRPr="1D9A0257">
        <w:t xml:space="preserve">) </w:t>
      </w:r>
      <w:r w:rsidR="73E0F1F1">
        <w:t>by</w:t>
      </w:r>
      <w:r w:rsidR="4E42CCC4" w:rsidRPr="1D9A0257">
        <w:t xml:space="preserve"> </w:t>
      </w:r>
      <w:r w:rsidR="00862C32">
        <w:t xml:space="preserve">the site energy savings </w:t>
      </w:r>
      <w:r w:rsidR="73E0F1F1" w:rsidRPr="00E9435E">
        <w:t xml:space="preserve">for </w:t>
      </w:r>
      <w:r w:rsidR="73E0F1F1">
        <w:t>each year of</w:t>
      </w:r>
      <w:r w:rsidR="00127A73" w:rsidRPr="00E9435E">
        <w:t xml:space="preserve"> the measure’s EUL</w:t>
      </w:r>
      <w:r w:rsidR="00862C32" w:rsidRPr="1D9A0257">
        <w:t>.</w:t>
      </w:r>
      <w:r w:rsidR="00127A73" w:rsidRPr="1D9A0257">
        <w:t xml:space="preserve"> </w:t>
      </w:r>
      <w:r w:rsidR="00127A73">
        <w:t xml:space="preserve">Please refer to the equations in </w:t>
      </w:r>
      <w:r w:rsidR="00386857">
        <w:t>Chapter 3</w:t>
      </w:r>
      <w:r w:rsidR="00127A73">
        <w:t xml:space="preserve"> for </w:t>
      </w:r>
      <w:r w:rsidR="00862C32">
        <w:t xml:space="preserve">additional </w:t>
      </w:r>
      <w:r w:rsidR="00127A73">
        <w:t>detail</w:t>
      </w:r>
      <w:r w:rsidR="00862C32">
        <w:t xml:space="preserve"> on these calculations</w:t>
      </w:r>
      <w:r w:rsidR="00127A73" w:rsidRPr="1D9A0257">
        <w:t xml:space="preserve">. </w:t>
      </w:r>
    </w:p>
    <w:p w14:paraId="015C81B0" w14:textId="77777777" w:rsidR="004929BA" w:rsidRDefault="004929BA" w:rsidP="1D9A0257"/>
    <w:p w14:paraId="541B8707" w14:textId="31AD6E0A" w:rsidR="006A7195" w:rsidRPr="00A35422" w:rsidRDefault="006A7195" w:rsidP="00D10656">
      <w:pPr>
        <w:pStyle w:val="Caption"/>
        <w:jc w:val="center"/>
      </w:pPr>
      <w:bookmarkStart w:id="28" w:name="_Ref22145245"/>
      <w:r w:rsidRPr="00D10656">
        <w:rPr>
          <w:sz w:val="22"/>
          <w:szCs w:val="22"/>
        </w:rPr>
        <w:t xml:space="preserve">Table </w:t>
      </w:r>
      <w:r w:rsidRPr="00D10656">
        <w:rPr>
          <w:sz w:val="22"/>
          <w:szCs w:val="22"/>
        </w:rPr>
        <w:fldChar w:fldCharType="begin"/>
      </w:r>
      <w:r w:rsidRPr="00D10656">
        <w:rPr>
          <w:sz w:val="22"/>
          <w:szCs w:val="22"/>
        </w:rPr>
        <w:instrText xml:space="preserve"> SEQ Table \* ARABIC </w:instrText>
      </w:r>
      <w:r w:rsidRPr="00D10656">
        <w:rPr>
          <w:sz w:val="22"/>
          <w:szCs w:val="22"/>
        </w:rPr>
        <w:fldChar w:fldCharType="separate"/>
      </w:r>
      <w:r w:rsidR="004929BA" w:rsidRPr="00D10656">
        <w:rPr>
          <w:noProof/>
          <w:sz w:val="22"/>
          <w:szCs w:val="22"/>
        </w:rPr>
        <w:t>2</w:t>
      </w:r>
      <w:r w:rsidRPr="00D10656">
        <w:rPr>
          <w:sz w:val="22"/>
          <w:szCs w:val="22"/>
        </w:rPr>
        <w:fldChar w:fldCharType="end"/>
      </w:r>
      <w:bookmarkEnd w:id="28"/>
      <w:r w:rsidRPr="00D10656">
        <w:rPr>
          <w:sz w:val="22"/>
          <w:szCs w:val="22"/>
        </w:rPr>
        <w:t xml:space="preserve"> Annual Source Energy and Emissions for Electricity used at the Site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060"/>
        <w:gridCol w:w="2245"/>
      </w:tblGrid>
      <w:tr w:rsidR="1D9A0257" w14:paraId="5ADA5E04" w14:textId="77777777" w:rsidTr="008D0E25">
        <w:trPr>
          <w:trHeight w:val="762"/>
          <w:tblHeader/>
          <w:jc w:val="center"/>
        </w:trPr>
        <w:tc>
          <w:tcPr>
            <w:tcW w:w="1710" w:type="dxa"/>
            <w:shd w:val="clear" w:color="auto" w:fill="auto"/>
            <w:vAlign w:val="center"/>
          </w:tcPr>
          <w:p w14:paraId="7B9F6332" w14:textId="77777777" w:rsidR="1D9A0257" w:rsidRPr="00D10656" w:rsidRDefault="1D9A0257" w:rsidP="00D10656">
            <w:pPr>
              <w:jc w:val="center"/>
              <w:rPr>
                <w:rFonts w:asciiTheme="minorHAnsi" w:eastAsia="Times New Roman" w:hAnsiTheme="minorHAnsi"/>
                <w:b/>
                <w:bCs/>
                <w:color w:val="000000" w:themeColor="text1"/>
              </w:rPr>
            </w:pPr>
            <w:r w:rsidRPr="00D10656">
              <w:rPr>
                <w:rFonts w:asciiTheme="minorHAnsi" w:eastAsia="Times New Roman" w:hAnsiTheme="minorHAnsi"/>
                <w:b/>
                <w:bCs/>
                <w:color w:val="000000" w:themeColor="text1"/>
              </w:rPr>
              <w:t>Year</w:t>
            </w:r>
          </w:p>
        </w:tc>
        <w:tc>
          <w:tcPr>
            <w:tcW w:w="3060" w:type="dxa"/>
            <w:shd w:val="clear" w:color="auto" w:fill="auto"/>
            <w:vAlign w:val="center"/>
          </w:tcPr>
          <w:p w14:paraId="0F24F6A4" w14:textId="77777777" w:rsidR="1D9A0257" w:rsidRPr="00D10656" w:rsidRDefault="1D9A0257" w:rsidP="00D10656">
            <w:pPr>
              <w:jc w:val="center"/>
              <w:rPr>
                <w:rFonts w:asciiTheme="minorHAnsi" w:eastAsia="Times New Roman" w:hAnsiTheme="minorHAnsi"/>
                <w:b/>
                <w:bCs/>
                <w:color w:val="000000" w:themeColor="text1"/>
              </w:rPr>
            </w:pPr>
            <w:r w:rsidRPr="00D10656">
              <w:rPr>
                <w:rFonts w:asciiTheme="minorHAnsi" w:eastAsia="Times New Roman" w:hAnsiTheme="minorHAnsi"/>
                <w:b/>
                <w:bCs/>
                <w:color w:val="000000" w:themeColor="text1"/>
              </w:rPr>
              <w:t>Emissions Intensity</w:t>
            </w:r>
          </w:p>
          <w:p w14:paraId="4E3837F8" w14:textId="77777777" w:rsidR="1D9A0257" w:rsidRPr="00D10656" w:rsidRDefault="1D9A0257" w:rsidP="00D10656">
            <w:pPr>
              <w:jc w:val="center"/>
              <w:rPr>
                <w:rFonts w:asciiTheme="minorHAnsi" w:eastAsia="Times New Roman" w:hAnsiTheme="minorHAnsi"/>
                <w:b/>
                <w:bCs/>
                <w:color w:val="000000" w:themeColor="text1"/>
              </w:rPr>
            </w:pPr>
            <w:r w:rsidRPr="00D10656">
              <w:rPr>
                <w:rFonts w:asciiTheme="minorHAnsi" w:eastAsia="Times New Roman" w:hAnsiTheme="minorHAnsi"/>
                <w:b/>
                <w:bCs/>
                <w:color w:val="000000" w:themeColor="text1"/>
              </w:rPr>
              <w:t xml:space="preserve">(metric </w:t>
            </w:r>
            <w:proofErr w:type="spellStart"/>
            <w:r w:rsidRPr="00D10656">
              <w:rPr>
                <w:rFonts w:asciiTheme="minorHAnsi" w:eastAsia="Times New Roman" w:hAnsiTheme="minorHAnsi"/>
                <w:b/>
                <w:bCs/>
                <w:color w:val="000000" w:themeColor="text1"/>
              </w:rPr>
              <w:t>tonnes</w:t>
            </w:r>
            <w:proofErr w:type="spellEnd"/>
            <w:r w:rsidRPr="00D10656">
              <w:rPr>
                <w:rFonts w:asciiTheme="minorHAnsi" w:eastAsia="Times New Roman" w:hAnsiTheme="minorHAnsi"/>
                <w:b/>
                <w:bCs/>
                <w:color w:val="000000" w:themeColor="text1"/>
              </w:rPr>
              <w:t xml:space="preserve"> CO</w:t>
            </w:r>
            <w:r w:rsidRPr="00D10656">
              <w:rPr>
                <w:rFonts w:asciiTheme="minorHAnsi" w:eastAsia="Times New Roman" w:hAnsiTheme="minorHAnsi"/>
                <w:b/>
                <w:bCs/>
                <w:color w:val="000000" w:themeColor="text1"/>
                <w:vertAlign w:val="subscript"/>
              </w:rPr>
              <w:t>2</w:t>
            </w:r>
            <w:r w:rsidRPr="00D10656">
              <w:rPr>
                <w:rFonts w:asciiTheme="minorHAnsi" w:eastAsia="Times New Roman" w:hAnsiTheme="minorHAnsi"/>
                <w:b/>
                <w:bCs/>
                <w:color w:val="000000" w:themeColor="text1"/>
              </w:rPr>
              <w:t>/MWh)</w:t>
            </w:r>
          </w:p>
        </w:tc>
        <w:tc>
          <w:tcPr>
            <w:tcW w:w="2245" w:type="dxa"/>
            <w:shd w:val="clear" w:color="auto" w:fill="auto"/>
            <w:vAlign w:val="center"/>
          </w:tcPr>
          <w:p w14:paraId="3CD0AAA6" w14:textId="66578779" w:rsidR="1D9A0257" w:rsidRPr="00D10656" w:rsidRDefault="1D9A0257" w:rsidP="00D10656">
            <w:pPr>
              <w:jc w:val="center"/>
              <w:rPr>
                <w:rFonts w:asciiTheme="minorHAnsi" w:eastAsia="Times New Roman" w:hAnsiTheme="minorHAnsi"/>
                <w:b/>
                <w:bCs/>
                <w:color w:val="000000" w:themeColor="text1"/>
              </w:rPr>
            </w:pPr>
            <w:r w:rsidRPr="00D10656">
              <w:rPr>
                <w:rFonts w:asciiTheme="minorHAnsi" w:eastAsia="Times New Roman" w:hAnsiTheme="minorHAnsi"/>
                <w:b/>
                <w:bCs/>
                <w:color w:val="000000" w:themeColor="text1"/>
              </w:rPr>
              <w:t xml:space="preserve">Source Energy </w:t>
            </w:r>
            <w:r w:rsidR="0015002F">
              <w:rPr>
                <w:rFonts w:asciiTheme="minorHAnsi" w:eastAsia="Times New Roman" w:hAnsiTheme="minorHAnsi"/>
                <w:b/>
                <w:bCs/>
                <w:color w:val="000000" w:themeColor="text1"/>
              </w:rPr>
              <w:t xml:space="preserve">Heat Rate </w:t>
            </w:r>
            <w:r w:rsidRPr="00D10656">
              <w:rPr>
                <w:rFonts w:asciiTheme="minorHAnsi" w:eastAsia="Times New Roman" w:hAnsiTheme="minorHAnsi"/>
                <w:b/>
                <w:bCs/>
                <w:color w:val="000000" w:themeColor="text1"/>
              </w:rPr>
              <w:t>(Btu/kWh)</w:t>
            </w:r>
          </w:p>
        </w:tc>
      </w:tr>
      <w:tr w:rsidR="1D9A0257" w14:paraId="76B4778B" w14:textId="77777777" w:rsidTr="00D10656">
        <w:trPr>
          <w:trHeight w:val="254"/>
          <w:jc w:val="center"/>
        </w:trPr>
        <w:tc>
          <w:tcPr>
            <w:tcW w:w="1710" w:type="dxa"/>
            <w:shd w:val="clear" w:color="auto" w:fill="auto"/>
            <w:vAlign w:val="bottom"/>
          </w:tcPr>
          <w:p w14:paraId="4AF2336A"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2019</w:t>
            </w:r>
          </w:p>
        </w:tc>
        <w:tc>
          <w:tcPr>
            <w:tcW w:w="3060" w:type="dxa"/>
            <w:shd w:val="clear" w:color="auto" w:fill="auto"/>
            <w:vAlign w:val="bottom"/>
          </w:tcPr>
          <w:p w14:paraId="116629F0"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0.195</w:t>
            </w:r>
          </w:p>
        </w:tc>
        <w:tc>
          <w:tcPr>
            <w:tcW w:w="2245" w:type="dxa"/>
            <w:shd w:val="clear" w:color="auto" w:fill="auto"/>
            <w:vAlign w:val="bottom"/>
          </w:tcPr>
          <w:p w14:paraId="26019E3A"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3,675 </w:t>
            </w:r>
          </w:p>
        </w:tc>
      </w:tr>
      <w:tr w:rsidR="1D9A0257" w14:paraId="023E0D71" w14:textId="77777777" w:rsidTr="00D10656">
        <w:trPr>
          <w:trHeight w:val="254"/>
          <w:jc w:val="center"/>
        </w:trPr>
        <w:tc>
          <w:tcPr>
            <w:tcW w:w="1710" w:type="dxa"/>
            <w:shd w:val="clear" w:color="auto" w:fill="auto"/>
            <w:vAlign w:val="bottom"/>
          </w:tcPr>
          <w:p w14:paraId="5A3240D6"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2020</w:t>
            </w:r>
          </w:p>
        </w:tc>
        <w:tc>
          <w:tcPr>
            <w:tcW w:w="3060" w:type="dxa"/>
            <w:shd w:val="clear" w:color="auto" w:fill="auto"/>
            <w:vAlign w:val="bottom"/>
          </w:tcPr>
          <w:p w14:paraId="072A871D"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0.188</w:t>
            </w:r>
          </w:p>
        </w:tc>
        <w:tc>
          <w:tcPr>
            <w:tcW w:w="2245" w:type="dxa"/>
            <w:shd w:val="clear" w:color="auto" w:fill="auto"/>
            <w:vAlign w:val="bottom"/>
          </w:tcPr>
          <w:p w14:paraId="292315E6"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3,543 </w:t>
            </w:r>
          </w:p>
        </w:tc>
      </w:tr>
      <w:tr w:rsidR="1D9A0257" w14:paraId="7683BBA0" w14:textId="77777777" w:rsidTr="00D10656">
        <w:trPr>
          <w:trHeight w:val="254"/>
          <w:jc w:val="center"/>
        </w:trPr>
        <w:tc>
          <w:tcPr>
            <w:tcW w:w="1710" w:type="dxa"/>
            <w:shd w:val="clear" w:color="auto" w:fill="auto"/>
            <w:vAlign w:val="bottom"/>
          </w:tcPr>
          <w:p w14:paraId="2BDD10D5"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2021</w:t>
            </w:r>
          </w:p>
        </w:tc>
        <w:tc>
          <w:tcPr>
            <w:tcW w:w="3060" w:type="dxa"/>
            <w:shd w:val="clear" w:color="auto" w:fill="auto"/>
            <w:vAlign w:val="bottom"/>
          </w:tcPr>
          <w:p w14:paraId="28F12F8B"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0.181</w:t>
            </w:r>
          </w:p>
        </w:tc>
        <w:tc>
          <w:tcPr>
            <w:tcW w:w="2245" w:type="dxa"/>
            <w:shd w:val="clear" w:color="auto" w:fill="auto"/>
            <w:vAlign w:val="bottom"/>
          </w:tcPr>
          <w:p w14:paraId="1B9D7029"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3,411 </w:t>
            </w:r>
          </w:p>
        </w:tc>
      </w:tr>
      <w:tr w:rsidR="1D9A0257" w14:paraId="1DE16CC5" w14:textId="77777777" w:rsidTr="00D10656">
        <w:trPr>
          <w:trHeight w:val="254"/>
          <w:jc w:val="center"/>
        </w:trPr>
        <w:tc>
          <w:tcPr>
            <w:tcW w:w="1710" w:type="dxa"/>
            <w:shd w:val="clear" w:color="auto" w:fill="auto"/>
            <w:vAlign w:val="bottom"/>
          </w:tcPr>
          <w:p w14:paraId="136A5A34"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2022</w:t>
            </w:r>
          </w:p>
        </w:tc>
        <w:tc>
          <w:tcPr>
            <w:tcW w:w="3060" w:type="dxa"/>
            <w:shd w:val="clear" w:color="auto" w:fill="auto"/>
            <w:vAlign w:val="bottom"/>
          </w:tcPr>
          <w:p w14:paraId="785ED7FD"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0.174</w:t>
            </w:r>
          </w:p>
        </w:tc>
        <w:tc>
          <w:tcPr>
            <w:tcW w:w="2245" w:type="dxa"/>
            <w:shd w:val="clear" w:color="auto" w:fill="auto"/>
            <w:vAlign w:val="bottom"/>
          </w:tcPr>
          <w:p w14:paraId="07129EEB"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3,279 </w:t>
            </w:r>
          </w:p>
        </w:tc>
      </w:tr>
      <w:tr w:rsidR="1D9A0257" w14:paraId="40463AB4" w14:textId="77777777" w:rsidTr="00D10656">
        <w:trPr>
          <w:trHeight w:val="254"/>
          <w:jc w:val="center"/>
        </w:trPr>
        <w:tc>
          <w:tcPr>
            <w:tcW w:w="1710" w:type="dxa"/>
            <w:shd w:val="clear" w:color="auto" w:fill="auto"/>
            <w:vAlign w:val="bottom"/>
          </w:tcPr>
          <w:p w14:paraId="04DFC092"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2023</w:t>
            </w:r>
          </w:p>
        </w:tc>
        <w:tc>
          <w:tcPr>
            <w:tcW w:w="3060" w:type="dxa"/>
            <w:shd w:val="clear" w:color="auto" w:fill="auto"/>
            <w:vAlign w:val="bottom"/>
          </w:tcPr>
          <w:p w14:paraId="15EC3A7B"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0.181</w:t>
            </w:r>
          </w:p>
        </w:tc>
        <w:tc>
          <w:tcPr>
            <w:tcW w:w="2245" w:type="dxa"/>
            <w:shd w:val="clear" w:color="auto" w:fill="auto"/>
            <w:vAlign w:val="bottom"/>
          </w:tcPr>
          <w:p w14:paraId="303F31B0"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3,406 </w:t>
            </w:r>
          </w:p>
        </w:tc>
      </w:tr>
      <w:tr w:rsidR="1D9A0257" w14:paraId="4E498FC7" w14:textId="77777777" w:rsidTr="00D10656">
        <w:trPr>
          <w:trHeight w:val="254"/>
          <w:jc w:val="center"/>
        </w:trPr>
        <w:tc>
          <w:tcPr>
            <w:tcW w:w="1710" w:type="dxa"/>
            <w:shd w:val="clear" w:color="auto" w:fill="auto"/>
            <w:vAlign w:val="bottom"/>
          </w:tcPr>
          <w:p w14:paraId="22C6AC97"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2024</w:t>
            </w:r>
          </w:p>
        </w:tc>
        <w:tc>
          <w:tcPr>
            <w:tcW w:w="3060" w:type="dxa"/>
            <w:shd w:val="clear" w:color="auto" w:fill="auto"/>
            <w:vAlign w:val="bottom"/>
          </w:tcPr>
          <w:p w14:paraId="5B4400BF"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0.187</w:t>
            </w:r>
          </w:p>
        </w:tc>
        <w:tc>
          <w:tcPr>
            <w:tcW w:w="2245" w:type="dxa"/>
            <w:shd w:val="clear" w:color="auto" w:fill="auto"/>
            <w:vAlign w:val="bottom"/>
          </w:tcPr>
          <w:p w14:paraId="7EC2D905"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3,532 </w:t>
            </w:r>
          </w:p>
        </w:tc>
      </w:tr>
      <w:tr w:rsidR="1D9A0257" w14:paraId="5574E763" w14:textId="77777777" w:rsidTr="00D10656">
        <w:trPr>
          <w:trHeight w:val="254"/>
          <w:jc w:val="center"/>
        </w:trPr>
        <w:tc>
          <w:tcPr>
            <w:tcW w:w="1710" w:type="dxa"/>
            <w:shd w:val="clear" w:color="auto" w:fill="auto"/>
            <w:vAlign w:val="bottom"/>
          </w:tcPr>
          <w:p w14:paraId="09F94907"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2025</w:t>
            </w:r>
          </w:p>
        </w:tc>
        <w:tc>
          <w:tcPr>
            <w:tcW w:w="3060" w:type="dxa"/>
            <w:shd w:val="clear" w:color="auto" w:fill="auto"/>
            <w:vAlign w:val="bottom"/>
          </w:tcPr>
          <w:p w14:paraId="7975D608"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0.194</w:t>
            </w:r>
          </w:p>
        </w:tc>
        <w:tc>
          <w:tcPr>
            <w:tcW w:w="2245" w:type="dxa"/>
            <w:shd w:val="clear" w:color="auto" w:fill="auto"/>
            <w:vAlign w:val="bottom"/>
          </w:tcPr>
          <w:p w14:paraId="611F6573"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3,659 </w:t>
            </w:r>
          </w:p>
        </w:tc>
      </w:tr>
      <w:tr w:rsidR="1D9A0257" w14:paraId="0B8C2452" w14:textId="77777777" w:rsidTr="00D10656">
        <w:trPr>
          <w:trHeight w:val="254"/>
          <w:jc w:val="center"/>
        </w:trPr>
        <w:tc>
          <w:tcPr>
            <w:tcW w:w="1710" w:type="dxa"/>
            <w:shd w:val="clear" w:color="auto" w:fill="auto"/>
            <w:vAlign w:val="bottom"/>
          </w:tcPr>
          <w:p w14:paraId="334F29BD"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2026</w:t>
            </w:r>
          </w:p>
        </w:tc>
        <w:tc>
          <w:tcPr>
            <w:tcW w:w="3060" w:type="dxa"/>
            <w:shd w:val="clear" w:color="auto" w:fill="auto"/>
            <w:vAlign w:val="bottom"/>
          </w:tcPr>
          <w:p w14:paraId="3778B74B"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0.201</w:t>
            </w:r>
          </w:p>
        </w:tc>
        <w:tc>
          <w:tcPr>
            <w:tcW w:w="2245" w:type="dxa"/>
            <w:shd w:val="clear" w:color="auto" w:fill="auto"/>
            <w:vAlign w:val="bottom"/>
          </w:tcPr>
          <w:p w14:paraId="5A5517AF"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3,786 </w:t>
            </w:r>
          </w:p>
        </w:tc>
      </w:tr>
      <w:tr w:rsidR="1D9A0257" w14:paraId="6612B266" w14:textId="77777777" w:rsidTr="00D10656">
        <w:trPr>
          <w:trHeight w:val="254"/>
          <w:jc w:val="center"/>
        </w:trPr>
        <w:tc>
          <w:tcPr>
            <w:tcW w:w="1710" w:type="dxa"/>
            <w:shd w:val="clear" w:color="auto" w:fill="auto"/>
            <w:vAlign w:val="bottom"/>
          </w:tcPr>
          <w:p w14:paraId="79B8923A"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2027</w:t>
            </w:r>
          </w:p>
        </w:tc>
        <w:tc>
          <w:tcPr>
            <w:tcW w:w="3060" w:type="dxa"/>
            <w:shd w:val="clear" w:color="auto" w:fill="auto"/>
            <w:vAlign w:val="bottom"/>
          </w:tcPr>
          <w:p w14:paraId="0A343625"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0.193</w:t>
            </w:r>
          </w:p>
        </w:tc>
        <w:tc>
          <w:tcPr>
            <w:tcW w:w="2245" w:type="dxa"/>
            <w:shd w:val="clear" w:color="auto" w:fill="auto"/>
            <w:vAlign w:val="bottom"/>
          </w:tcPr>
          <w:p w14:paraId="0154B898"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3,630 </w:t>
            </w:r>
          </w:p>
        </w:tc>
      </w:tr>
      <w:tr w:rsidR="1D9A0257" w14:paraId="45974A14" w14:textId="77777777" w:rsidTr="00D10656">
        <w:trPr>
          <w:trHeight w:val="254"/>
          <w:jc w:val="center"/>
        </w:trPr>
        <w:tc>
          <w:tcPr>
            <w:tcW w:w="1710" w:type="dxa"/>
            <w:shd w:val="clear" w:color="auto" w:fill="auto"/>
            <w:vAlign w:val="bottom"/>
          </w:tcPr>
          <w:p w14:paraId="4776F21A"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2028</w:t>
            </w:r>
          </w:p>
        </w:tc>
        <w:tc>
          <w:tcPr>
            <w:tcW w:w="3060" w:type="dxa"/>
            <w:shd w:val="clear" w:color="auto" w:fill="auto"/>
            <w:vAlign w:val="bottom"/>
          </w:tcPr>
          <w:p w14:paraId="7BBC0615"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0.184</w:t>
            </w:r>
          </w:p>
        </w:tc>
        <w:tc>
          <w:tcPr>
            <w:tcW w:w="2245" w:type="dxa"/>
            <w:shd w:val="clear" w:color="auto" w:fill="auto"/>
            <w:vAlign w:val="bottom"/>
          </w:tcPr>
          <w:p w14:paraId="75C78F72"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3,474 </w:t>
            </w:r>
          </w:p>
        </w:tc>
      </w:tr>
      <w:tr w:rsidR="1D9A0257" w14:paraId="4071CB7C" w14:textId="77777777" w:rsidTr="00D10656">
        <w:trPr>
          <w:trHeight w:val="254"/>
          <w:jc w:val="center"/>
        </w:trPr>
        <w:tc>
          <w:tcPr>
            <w:tcW w:w="1710" w:type="dxa"/>
            <w:shd w:val="clear" w:color="auto" w:fill="auto"/>
            <w:vAlign w:val="bottom"/>
          </w:tcPr>
          <w:p w14:paraId="77D6CC80"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2029</w:t>
            </w:r>
          </w:p>
        </w:tc>
        <w:tc>
          <w:tcPr>
            <w:tcW w:w="3060" w:type="dxa"/>
            <w:shd w:val="clear" w:color="auto" w:fill="auto"/>
            <w:vAlign w:val="bottom"/>
          </w:tcPr>
          <w:p w14:paraId="2732C8B9"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0.176</w:t>
            </w:r>
          </w:p>
        </w:tc>
        <w:tc>
          <w:tcPr>
            <w:tcW w:w="2245" w:type="dxa"/>
            <w:shd w:val="clear" w:color="auto" w:fill="auto"/>
            <w:vAlign w:val="bottom"/>
          </w:tcPr>
          <w:p w14:paraId="710AEACF"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3,318 </w:t>
            </w:r>
          </w:p>
        </w:tc>
      </w:tr>
      <w:tr w:rsidR="1D9A0257" w14:paraId="30364729" w14:textId="77777777" w:rsidTr="00D10656">
        <w:trPr>
          <w:trHeight w:val="254"/>
          <w:jc w:val="center"/>
        </w:trPr>
        <w:tc>
          <w:tcPr>
            <w:tcW w:w="1710" w:type="dxa"/>
            <w:shd w:val="clear" w:color="auto" w:fill="auto"/>
            <w:vAlign w:val="bottom"/>
          </w:tcPr>
          <w:p w14:paraId="51BAE218"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2030</w:t>
            </w:r>
          </w:p>
        </w:tc>
        <w:tc>
          <w:tcPr>
            <w:tcW w:w="3060" w:type="dxa"/>
            <w:shd w:val="clear" w:color="auto" w:fill="auto"/>
            <w:vAlign w:val="bottom"/>
          </w:tcPr>
          <w:p w14:paraId="3B88B059"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0.168</w:t>
            </w:r>
          </w:p>
        </w:tc>
        <w:tc>
          <w:tcPr>
            <w:tcW w:w="2245" w:type="dxa"/>
            <w:shd w:val="clear" w:color="auto" w:fill="auto"/>
            <w:vAlign w:val="bottom"/>
          </w:tcPr>
          <w:p w14:paraId="03509376"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3,162 </w:t>
            </w:r>
          </w:p>
        </w:tc>
      </w:tr>
      <w:tr w:rsidR="1D9A0257" w14:paraId="67CDEA4C" w14:textId="77777777" w:rsidTr="00D10656">
        <w:trPr>
          <w:trHeight w:val="254"/>
          <w:jc w:val="center"/>
        </w:trPr>
        <w:tc>
          <w:tcPr>
            <w:tcW w:w="1710" w:type="dxa"/>
            <w:shd w:val="clear" w:color="auto" w:fill="auto"/>
            <w:vAlign w:val="bottom"/>
          </w:tcPr>
          <w:p w14:paraId="0E0A116D"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2031</w:t>
            </w:r>
          </w:p>
        </w:tc>
        <w:tc>
          <w:tcPr>
            <w:tcW w:w="3060" w:type="dxa"/>
            <w:shd w:val="clear" w:color="auto" w:fill="auto"/>
            <w:vAlign w:val="bottom"/>
          </w:tcPr>
          <w:p w14:paraId="40A02D9C"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0.158</w:t>
            </w:r>
          </w:p>
        </w:tc>
        <w:tc>
          <w:tcPr>
            <w:tcW w:w="2245" w:type="dxa"/>
            <w:shd w:val="clear" w:color="auto" w:fill="auto"/>
            <w:vAlign w:val="bottom"/>
          </w:tcPr>
          <w:p w14:paraId="4F3F1F67"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2,984 </w:t>
            </w:r>
          </w:p>
        </w:tc>
      </w:tr>
      <w:tr w:rsidR="1D9A0257" w14:paraId="138A24DB" w14:textId="77777777" w:rsidTr="00D10656">
        <w:trPr>
          <w:trHeight w:val="254"/>
          <w:jc w:val="center"/>
        </w:trPr>
        <w:tc>
          <w:tcPr>
            <w:tcW w:w="1710" w:type="dxa"/>
            <w:shd w:val="clear" w:color="auto" w:fill="auto"/>
            <w:vAlign w:val="bottom"/>
          </w:tcPr>
          <w:p w14:paraId="65490667"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2032</w:t>
            </w:r>
          </w:p>
        </w:tc>
        <w:tc>
          <w:tcPr>
            <w:tcW w:w="3060" w:type="dxa"/>
            <w:shd w:val="clear" w:color="auto" w:fill="auto"/>
            <w:vAlign w:val="bottom"/>
          </w:tcPr>
          <w:p w14:paraId="15EE7F0A"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0.149</w:t>
            </w:r>
          </w:p>
        </w:tc>
        <w:tc>
          <w:tcPr>
            <w:tcW w:w="2245" w:type="dxa"/>
            <w:shd w:val="clear" w:color="auto" w:fill="auto"/>
            <w:vAlign w:val="bottom"/>
          </w:tcPr>
          <w:p w14:paraId="1BCCB994"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2,806 </w:t>
            </w:r>
          </w:p>
        </w:tc>
      </w:tr>
      <w:tr w:rsidR="1D9A0257" w14:paraId="1C3FFF06" w14:textId="77777777" w:rsidTr="00D10656">
        <w:trPr>
          <w:trHeight w:val="254"/>
          <w:jc w:val="center"/>
        </w:trPr>
        <w:tc>
          <w:tcPr>
            <w:tcW w:w="1710" w:type="dxa"/>
            <w:shd w:val="clear" w:color="auto" w:fill="auto"/>
            <w:vAlign w:val="bottom"/>
          </w:tcPr>
          <w:p w14:paraId="58F66C2E"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2033</w:t>
            </w:r>
          </w:p>
        </w:tc>
        <w:tc>
          <w:tcPr>
            <w:tcW w:w="3060" w:type="dxa"/>
            <w:shd w:val="clear" w:color="auto" w:fill="auto"/>
            <w:vAlign w:val="bottom"/>
          </w:tcPr>
          <w:p w14:paraId="5B0F981C"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0.139</w:t>
            </w:r>
          </w:p>
        </w:tc>
        <w:tc>
          <w:tcPr>
            <w:tcW w:w="2245" w:type="dxa"/>
            <w:shd w:val="clear" w:color="auto" w:fill="auto"/>
            <w:vAlign w:val="bottom"/>
          </w:tcPr>
          <w:p w14:paraId="3C049638"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2,629 </w:t>
            </w:r>
          </w:p>
        </w:tc>
      </w:tr>
      <w:tr w:rsidR="1D9A0257" w14:paraId="34293472" w14:textId="77777777" w:rsidTr="00D10656">
        <w:trPr>
          <w:trHeight w:val="254"/>
          <w:jc w:val="center"/>
        </w:trPr>
        <w:tc>
          <w:tcPr>
            <w:tcW w:w="1710" w:type="dxa"/>
            <w:shd w:val="clear" w:color="auto" w:fill="auto"/>
            <w:vAlign w:val="bottom"/>
          </w:tcPr>
          <w:p w14:paraId="2543F927"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2034</w:t>
            </w:r>
          </w:p>
        </w:tc>
        <w:tc>
          <w:tcPr>
            <w:tcW w:w="3060" w:type="dxa"/>
            <w:shd w:val="clear" w:color="auto" w:fill="auto"/>
            <w:vAlign w:val="bottom"/>
          </w:tcPr>
          <w:p w14:paraId="0B9C75B9"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0.130</w:t>
            </w:r>
          </w:p>
        </w:tc>
        <w:tc>
          <w:tcPr>
            <w:tcW w:w="2245" w:type="dxa"/>
            <w:shd w:val="clear" w:color="auto" w:fill="auto"/>
            <w:vAlign w:val="bottom"/>
          </w:tcPr>
          <w:p w14:paraId="0C92E7A7"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2,451 </w:t>
            </w:r>
          </w:p>
        </w:tc>
      </w:tr>
      <w:tr w:rsidR="1D9A0257" w14:paraId="278E4B49" w14:textId="77777777" w:rsidTr="00D10656">
        <w:trPr>
          <w:trHeight w:val="254"/>
          <w:jc w:val="center"/>
        </w:trPr>
        <w:tc>
          <w:tcPr>
            <w:tcW w:w="1710" w:type="dxa"/>
            <w:shd w:val="clear" w:color="auto" w:fill="auto"/>
            <w:vAlign w:val="bottom"/>
          </w:tcPr>
          <w:p w14:paraId="02204AB6"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2035</w:t>
            </w:r>
          </w:p>
        </w:tc>
        <w:tc>
          <w:tcPr>
            <w:tcW w:w="3060" w:type="dxa"/>
            <w:shd w:val="clear" w:color="auto" w:fill="auto"/>
            <w:vAlign w:val="bottom"/>
          </w:tcPr>
          <w:p w14:paraId="6780971C"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0.121</w:t>
            </w:r>
          </w:p>
        </w:tc>
        <w:tc>
          <w:tcPr>
            <w:tcW w:w="2245" w:type="dxa"/>
            <w:shd w:val="clear" w:color="auto" w:fill="auto"/>
            <w:vAlign w:val="bottom"/>
          </w:tcPr>
          <w:p w14:paraId="4AF4CC02"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2,273 </w:t>
            </w:r>
          </w:p>
        </w:tc>
      </w:tr>
      <w:tr w:rsidR="1D9A0257" w14:paraId="69B87C21" w14:textId="77777777" w:rsidTr="00D10656">
        <w:trPr>
          <w:trHeight w:val="254"/>
          <w:jc w:val="center"/>
        </w:trPr>
        <w:tc>
          <w:tcPr>
            <w:tcW w:w="1710" w:type="dxa"/>
            <w:shd w:val="clear" w:color="auto" w:fill="auto"/>
            <w:vAlign w:val="bottom"/>
          </w:tcPr>
          <w:p w14:paraId="70D52647"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2036</w:t>
            </w:r>
          </w:p>
        </w:tc>
        <w:tc>
          <w:tcPr>
            <w:tcW w:w="3060" w:type="dxa"/>
            <w:shd w:val="clear" w:color="auto" w:fill="auto"/>
            <w:vAlign w:val="bottom"/>
          </w:tcPr>
          <w:p w14:paraId="35AEEF11"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0.111</w:t>
            </w:r>
          </w:p>
        </w:tc>
        <w:tc>
          <w:tcPr>
            <w:tcW w:w="2245" w:type="dxa"/>
            <w:shd w:val="clear" w:color="auto" w:fill="auto"/>
            <w:vAlign w:val="bottom"/>
          </w:tcPr>
          <w:p w14:paraId="53A147B6"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2,095 </w:t>
            </w:r>
          </w:p>
        </w:tc>
      </w:tr>
      <w:tr w:rsidR="1D9A0257" w14:paraId="362F4383" w14:textId="77777777" w:rsidTr="00D10656">
        <w:trPr>
          <w:trHeight w:val="254"/>
          <w:jc w:val="center"/>
        </w:trPr>
        <w:tc>
          <w:tcPr>
            <w:tcW w:w="1710" w:type="dxa"/>
            <w:shd w:val="clear" w:color="auto" w:fill="auto"/>
            <w:vAlign w:val="bottom"/>
          </w:tcPr>
          <w:p w14:paraId="4A3EFBFB"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2037</w:t>
            </w:r>
          </w:p>
        </w:tc>
        <w:tc>
          <w:tcPr>
            <w:tcW w:w="3060" w:type="dxa"/>
            <w:shd w:val="clear" w:color="auto" w:fill="auto"/>
            <w:vAlign w:val="bottom"/>
          </w:tcPr>
          <w:p w14:paraId="119D26E8"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0.102</w:t>
            </w:r>
          </w:p>
        </w:tc>
        <w:tc>
          <w:tcPr>
            <w:tcW w:w="2245" w:type="dxa"/>
            <w:shd w:val="clear" w:color="auto" w:fill="auto"/>
            <w:vAlign w:val="bottom"/>
          </w:tcPr>
          <w:p w14:paraId="16F1E80E"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1,917 </w:t>
            </w:r>
          </w:p>
        </w:tc>
      </w:tr>
      <w:tr w:rsidR="1D9A0257" w14:paraId="710EB014" w14:textId="77777777" w:rsidTr="00D10656">
        <w:trPr>
          <w:trHeight w:val="254"/>
          <w:jc w:val="center"/>
        </w:trPr>
        <w:tc>
          <w:tcPr>
            <w:tcW w:w="1710" w:type="dxa"/>
            <w:shd w:val="clear" w:color="auto" w:fill="auto"/>
            <w:vAlign w:val="bottom"/>
          </w:tcPr>
          <w:p w14:paraId="5DB4844B"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lastRenderedPageBreak/>
              <w:t>2038</w:t>
            </w:r>
          </w:p>
        </w:tc>
        <w:tc>
          <w:tcPr>
            <w:tcW w:w="3060" w:type="dxa"/>
            <w:shd w:val="clear" w:color="auto" w:fill="auto"/>
            <w:vAlign w:val="bottom"/>
          </w:tcPr>
          <w:p w14:paraId="21F3D240"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0.092</w:t>
            </w:r>
          </w:p>
        </w:tc>
        <w:tc>
          <w:tcPr>
            <w:tcW w:w="2245" w:type="dxa"/>
            <w:shd w:val="clear" w:color="auto" w:fill="auto"/>
            <w:vAlign w:val="bottom"/>
          </w:tcPr>
          <w:p w14:paraId="7198D7CC"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1,739 </w:t>
            </w:r>
          </w:p>
        </w:tc>
      </w:tr>
      <w:tr w:rsidR="1D9A0257" w14:paraId="6629BE55" w14:textId="77777777" w:rsidTr="00D10656">
        <w:trPr>
          <w:trHeight w:val="254"/>
          <w:jc w:val="center"/>
        </w:trPr>
        <w:tc>
          <w:tcPr>
            <w:tcW w:w="1710" w:type="dxa"/>
            <w:shd w:val="clear" w:color="auto" w:fill="auto"/>
            <w:vAlign w:val="bottom"/>
          </w:tcPr>
          <w:p w14:paraId="6E39DDF3"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2039</w:t>
            </w:r>
          </w:p>
        </w:tc>
        <w:tc>
          <w:tcPr>
            <w:tcW w:w="3060" w:type="dxa"/>
            <w:shd w:val="clear" w:color="auto" w:fill="auto"/>
            <w:vAlign w:val="bottom"/>
          </w:tcPr>
          <w:p w14:paraId="7F091CC8"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0.083</w:t>
            </w:r>
          </w:p>
        </w:tc>
        <w:tc>
          <w:tcPr>
            <w:tcW w:w="2245" w:type="dxa"/>
            <w:shd w:val="clear" w:color="auto" w:fill="auto"/>
            <w:vAlign w:val="bottom"/>
          </w:tcPr>
          <w:p w14:paraId="1ABC7D99"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1,561 </w:t>
            </w:r>
          </w:p>
        </w:tc>
      </w:tr>
      <w:tr w:rsidR="1D9A0257" w14:paraId="3F73DFD6" w14:textId="77777777" w:rsidTr="00D10656">
        <w:trPr>
          <w:trHeight w:val="254"/>
          <w:jc w:val="center"/>
        </w:trPr>
        <w:tc>
          <w:tcPr>
            <w:tcW w:w="1710" w:type="dxa"/>
            <w:shd w:val="clear" w:color="auto" w:fill="auto"/>
            <w:vAlign w:val="bottom"/>
          </w:tcPr>
          <w:p w14:paraId="07EF20ED"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2040</w:t>
            </w:r>
          </w:p>
        </w:tc>
        <w:tc>
          <w:tcPr>
            <w:tcW w:w="3060" w:type="dxa"/>
            <w:shd w:val="clear" w:color="auto" w:fill="auto"/>
            <w:vAlign w:val="bottom"/>
          </w:tcPr>
          <w:p w14:paraId="14E7C243"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0.073</w:t>
            </w:r>
          </w:p>
        </w:tc>
        <w:tc>
          <w:tcPr>
            <w:tcW w:w="2245" w:type="dxa"/>
            <w:shd w:val="clear" w:color="auto" w:fill="auto"/>
            <w:vAlign w:val="bottom"/>
          </w:tcPr>
          <w:p w14:paraId="234951B1"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1,383 </w:t>
            </w:r>
          </w:p>
        </w:tc>
      </w:tr>
      <w:tr w:rsidR="1D9A0257" w14:paraId="6E2062DB" w14:textId="77777777" w:rsidTr="00D10656">
        <w:trPr>
          <w:trHeight w:val="254"/>
          <w:jc w:val="center"/>
        </w:trPr>
        <w:tc>
          <w:tcPr>
            <w:tcW w:w="1710" w:type="dxa"/>
            <w:shd w:val="clear" w:color="auto" w:fill="auto"/>
            <w:vAlign w:val="bottom"/>
          </w:tcPr>
          <w:p w14:paraId="6773E95E"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2041</w:t>
            </w:r>
          </w:p>
        </w:tc>
        <w:tc>
          <w:tcPr>
            <w:tcW w:w="3060" w:type="dxa"/>
            <w:shd w:val="clear" w:color="auto" w:fill="auto"/>
            <w:vAlign w:val="bottom"/>
          </w:tcPr>
          <w:p w14:paraId="237B6D0A"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0.064</w:t>
            </w:r>
          </w:p>
        </w:tc>
        <w:tc>
          <w:tcPr>
            <w:tcW w:w="2245" w:type="dxa"/>
            <w:shd w:val="clear" w:color="auto" w:fill="auto"/>
            <w:vAlign w:val="bottom"/>
          </w:tcPr>
          <w:p w14:paraId="2615B787"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1,205 </w:t>
            </w:r>
          </w:p>
        </w:tc>
      </w:tr>
      <w:tr w:rsidR="1D9A0257" w14:paraId="3820E35D" w14:textId="77777777" w:rsidTr="00D10656">
        <w:trPr>
          <w:trHeight w:val="254"/>
          <w:jc w:val="center"/>
        </w:trPr>
        <w:tc>
          <w:tcPr>
            <w:tcW w:w="1710" w:type="dxa"/>
            <w:shd w:val="clear" w:color="auto" w:fill="auto"/>
            <w:vAlign w:val="bottom"/>
          </w:tcPr>
          <w:p w14:paraId="6A90BF8F"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2042</w:t>
            </w:r>
          </w:p>
        </w:tc>
        <w:tc>
          <w:tcPr>
            <w:tcW w:w="3060" w:type="dxa"/>
            <w:shd w:val="clear" w:color="auto" w:fill="auto"/>
            <w:vAlign w:val="bottom"/>
          </w:tcPr>
          <w:p w14:paraId="10C52C54"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0.055</w:t>
            </w:r>
          </w:p>
        </w:tc>
        <w:tc>
          <w:tcPr>
            <w:tcW w:w="2245" w:type="dxa"/>
            <w:shd w:val="clear" w:color="auto" w:fill="auto"/>
            <w:vAlign w:val="bottom"/>
          </w:tcPr>
          <w:p w14:paraId="6CEC9B04"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1,027 </w:t>
            </w:r>
          </w:p>
        </w:tc>
      </w:tr>
      <w:tr w:rsidR="1D9A0257" w14:paraId="4AB2D435" w14:textId="77777777" w:rsidTr="00D10656">
        <w:trPr>
          <w:trHeight w:val="254"/>
          <w:jc w:val="center"/>
        </w:trPr>
        <w:tc>
          <w:tcPr>
            <w:tcW w:w="1710" w:type="dxa"/>
            <w:shd w:val="clear" w:color="auto" w:fill="auto"/>
            <w:vAlign w:val="bottom"/>
          </w:tcPr>
          <w:p w14:paraId="773E0C1B"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2043</w:t>
            </w:r>
          </w:p>
        </w:tc>
        <w:tc>
          <w:tcPr>
            <w:tcW w:w="3060" w:type="dxa"/>
            <w:shd w:val="clear" w:color="auto" w:fill="auto"/>
            <w:vAlign w:val="bottom"/>
          </w:tcPr>
          <w:p w14:paraId="4A966B9B"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0.045</w:t>
            </w:r>
          </w:p>
        </w:tc>
        <w:tc>
          <w:tcPr>
            <w:tcW w:w="2245" w:type="dxa"/>
            <w:shd w:val="clear" w:color="auto" w:fill="auto"/>
            <w:vAlign w:val="bottom"/>
          </w:tcPr>
          <w:p w14:paraId="16F20234"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849 </w:t>
            </w:r>
          </w:p>
        </w:tc>
      </w:tr>
      <w:tr w:rsidR="1D9A0257" w14:paraId="312DA7DE" w14:textId="77777777" w:rsidTr="00D10656">
        <w:trPr>
          <w:trHeight w:val="254"/>
          <w:jc w:val="center"/>
        </w:trPr>
        <w:tc>
          <w:tcPr>
            <w:tcW w:w="1710" w:type="dxa"/>
            <w:shd w:val="clear" w:color="auto" w:fill="auto"/>
            <w:vAlign w:val="bottom"/>
          </w:tcPr>
          <w:p w14:paraId="3EA4DF00"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2044</w:t>
            </w:r>
          </w:p>
        </w:tc>
        <w:tc>
          <w:tcPr>
            <w:tcW w:w="3060" w:type="dxa"/>
            <w:shd w:val="clear" w:color="auto" w:fill="auto"/>
            <w:vAlign w:val="bottom"/>
          </w:tcPr>
          <w:p w14:paraId="7E716FCD"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0.036</w:t>
            </w:r>
          </w:p>
        </w:tc>
        <w:tc>
          <w:tcPr>
            <w:tcW w:w="2245" w:type="dxa"/>
            <w:shd w:val="clear" w:color="auto" w:fill="auto"/>
            <w:vAlign w:val="bottom"/>
          </w:tcPr>
          <w:p w14:paraId="7D9B59F1"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671 </w:t>
            </w:r>
          </w:p>
        </w:tc>
      </w:tr>
      <w:tr w:rsidR="1D9A0257" w14:paraId="3961BC6A" w14:textId="77777777" w:rsidTr="00D10656">
        <w:trPr>
          <w:trHeight w:val="254"/>
          <w:jc w:val="center"/>
        </w:trPr>
        <w:tc>
          <w:tcPr>
            <w:tcW w:w="1710" w:type="dxa"/>
            <w:shd w:val="clear" w:color="auto" w:fill="auto"/>
            <w:vAlign w:val="bottom"/>
          </w:tcPr>
          <w:p w14:paraId="55086E96"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2045</w:t>
            </w:r>
          </w:p>
        </w:tc>
        <w:tc>
          <w:tcPr>
            <w:tcW w:w="3060" w:type="dxa"/>
            <w:shd w:val="clear" w:color="auto" w:fill="auto"/>
            <w:vAlign w:val="bottom"/>
          </w:tcPr>
          <w:p w14:paraId="5D3501CD"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0.026</w:t>
            </w:r>
          </w:p>
        </w:tc>
        <w:tc>
          <w:tcPr>
            <w:tcW w:w="2245" w:type="dxa"/>
            <w:shd w:val="clear" w:color="auto" w:fill="auto"/>
            <w:vAlign w:val="bottom"/>
          </w:tcPr>
          <w:p w14:paraId="22AFE2B4"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494 </w:t>
            </w:r>
          </w:p>
        </w:tc>
      </w:tr>
      <w:tr w:rsidR="1D9A0257" w14:paraId="711CD3C9" w14:textId="77777777" w:rsidTr="00D10656">
        <w:trPr>
          <w:trHeight w:val="254"/>
          <w:jc w:val="center"/>
        </w:trPr>
        <w:tc>
          <w:tcPr>
            <w:tcW w:w="1710" w:type="dxa"/>
            <w:shd w:val="clear" w:color="auto" w:fill="auto"/>
            <w:vAlign w:val="bottom"/>
          </w:tcPr>
          <w:p w14:paraId="41BFD68F"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2046</w:t>
            </w:r>
          </w:p>
        </w:tc>
        <w:tc>
          <w:tcPr>
            <w:tcW w:w="3060" w:type="dxa"/>
            <w:shd w:val="clear" w:color="auto" w:fill="auto"/>
            <w:vAlign w:val="bottom"/>
          </w:tcPr>
          <w:p w14:paraId="5CE58B7C"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0.026</w:t>
            </w:r>
          </w:p>
        </w:tc>
        <w:tc>
          <w:tcPr>
            <w:tcW w:w="2245" w:type="dxa"/>
            <w:shd w:val="clear" w:color="auto" w:fill="auto"/>
            <w:vAlign w:val="bottom"/>
          </w:tcPr>
          <w:p w14:paraId="1B664419"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494 </w:t>
            </w:r>
          </w:p>
        </w:tc>
      </w:tr>
      <w:tr w:rsidR="1D9A0257" w14:paraId="47737B1D" w14:textId="77777777" w:rsidTr="00D10656">
        <w:trPr>
          <w:trHeight w:val="254"/>
          <w:jc w:val="center"/>
        </w:trPr>
        <w:tc>
          <w:tcPr>
            <w:tcW w:w="1710" w:type="dxa"/>
            <w:shd w:val="clear" w:color="auto" w:fill="auto"/>
            <w:vAlign w:val="bottom"/>
          </w:tcPr>
          <w:p w14:paraId="242639FF"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2047</w:t>
            </w:r>
          </w:p>
        </w:tc>
        <w:tc>
          <w:tcPr>
            <w:tcW w:w="3060" w:type="dxa"/>
            <w:shd w:val="clear" w:color="auto" w:fill="auto"/>
            <w:vAlign w:val="bottom"/>
          </w:tcPr>
          <w:p w14:paraId="21D88D0B"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0.026</w:t>
            </w:r>
          </w:p>
        </w:tc>
        <w:tc>
          <w:tcPr>
            <w:tcW w:w="2245" w:type="dxa"/>
            <w:shd w:val="clear" w:color="auto" w:fill="auto"/>
            <w:vAlign w:val="bottom"/>
          </w:tcPr>
          <w:p w14:paraId="535AED7E"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494 </w:t>
            </w:r>
          </w:p>
        </w:tc>
      </w:tr>
      <w:tr w:rsidR="1D9A0257" w14:paraId="02DF69B6" w14:textId="77777777" w:rsidTr="00D10656">
        <w:trPr>
          <w:trHeight w:val="254"/>
          <w:jc w:val="center"/>
        </w:trPr>
        <w:tc>
          <w:tcPr>
            <w:tcW w:w="1710" w:type="dxa"/>
            <w:shd w:val="clear" w:color="auto" w:fill="auto"/>
            <w:vAlign w:val="bottom"/>
          </w:tcPr>
          <w:p w14:paraId="124C1103"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2048</w:t>
            </w:r>
          </w:p>
        </w:tc>
        <w:tc>
          <w:tcPr>
            <w:tcW w:w="3060" w:type="dxa"/>
            <w:shd w:val="clear" w:color="auto" w:fill="auto"/>
            <w:vAlign w:val="bottom"/>
          </w:tcPr>
          <w:p w14:paraId="5C5FF12F"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0.026</w:t>
            </w:r>
          </w:p>
        </w:tc>
        <w:tc>
          <w:tcPr>
            <w:tcW w:w="2245" w:type="dxa"/>
            <w:shd w:val="clear" w:color="auto" w:fill="auto"/>
            <w:vAlign w:val="bottom"/>
          </w:tcPr>
          <w:p w14:paraId="4C678894"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494 </w:t>
            </w:r>
          </w:p>
        </w:tc>
      </w:tr>
      <w:tr w:rsidR="1D9A0257" w14:paraId="1BB97C5B" w14:textId="77777777" w:rsidTr="00D10656">
        <w:trPr>
          <w:trHeight w:val="254"/>
          <w:jc w:val="center"/>
        </w:trPr>
        <w:tc>
          <w:tcPr>
            <w:tcW w:w="1710" w:type="dxa"/>
            <w:shd w:val="clear" w:color="auto" w:fill="auto"/>
            <w:vAlign w:val="bottom"/>
          </w:tcPr>
          <w:p w14:paraId="50DF0717" w14:textId="77777777" w:rsidR="1D9A0257" w:rsidRPr="00D10656" w:rsidRDefault="1D9A0257" w:rsidP="00D10656">
            <w:pPr>
              <w:jc w:val="right"/>
              <w:rPr>
                <w:rFonts w:asciiTheme="minorHAnsi" w:eastAsia="Times New Roman" w:hAnsiTheme="minorHAnsi"/>
                <w:color w:val="000000" w:themeColor="text1"/>
              </w:rPr>
            </w:pPr>
            <w:r w:rsidRPr="00D10656">
              <w:rPr>
                <w:rFonts w:asciiTheme="minorHAnsi" w:eastAsia="Times New Roman" w:hAnsiTheme="minorHAnsi"/>
                <w:color w:val="000000" w:themeColor="text1"/>
              </w:rPr>
              <w:t>2049</w:t>
            </w:r>
          </w:p>
        </w:tc>
        <w:tc>
          <w:tcPr>
            <w:tcW w:w="3060" w:type="dxa"/>
            <w:shd w:val="clear" w:color="auto" w:fill="auto"/>
            <w:vAlign w:val="bottom"/>
          </w:tcPr>
          <w:p w14:paraId="517165C7" w14:textId="77777777" w:rsidR="1D9A0257" w:rsidRPr="00D10656" w:rsidRDefault="1D9A0257" w:rsidP="00D10656">
            <w:pPr>
              <w:jc w:val="center"/>
              <w:rPr>
                <w:rFonts w:asciiTheme="minorHAnsi" w:eastAsia="Times New Roman" w:hAnsiTheme="minorHAnsi"/>
                <w:color w:val="000000" w:themeColor="text1"/>
              </w:rPr>
            </w:pPr>
            <w:r w:rsidRPr="00D10656">
              <w:rPr>
                <w:rFonts w:asciiTheme="minorHAnsi" w:hAnsiTheme="minorHAnsi"/>
                <w:color w:val="000000" w:themeColor="text1"/>
              </w:rPr>
              <w:t>0.026</w:t>
            </w:r>
          </w:p>
        </w:tc>
        <w:tc>
          <w:tcPr>
            <w:tcW w:w="2245" w:type="dxa"/>
            <w:shd w:val="clear" w:color="auto" w:fill="auto"/>
            <w:vAlign w:val="bottom"/>
          </w:tcPr>
          <w:p w14:paraId="7AF66530" w14:textId="77777777" w:rsidR="1D9A0257" w:rsidRPr="00D10656" w:rsidRDefault="1D9A0257">
            <w:pPr>
              <w:rPr>
                <w:rFonts w:asciiTheme="minorHAnsi" w:eastAsia="Times New Roman" w:hAnsiTheme="minorHAnsi"/>
                <w:color w:val="000000" w:themeColor="text1"/>
              </w:rPr>
            </w:pPr>
            <w:r w:rsidRPr="00D10656">
              <w:rPr>
                <w:rFonts w:asciiTheme="minorHAnsi" w:eastAsia="Times New Roman" w:hAnsiTheme="minorHAnsi"/>
                <w:color w:val="000000" w:themeColor="text1"/>
              </w:rPr>
              <w:t xml:space="preserve">                     494 </w:t>
            </w:r>
          </w:p>
        </w:tc>
      </w:tr>
    </w:tbl>
    <w:p w14:paraId="4B4AA1A2" w14:textId="201ECEAF" w:rsidR="1D9A0257" w:rsidRDefault="1D9A0257" w:rsidP="00D10656">
      <w:pPr>
        <w:spacing w:after="200" w:line="276" w:lineRule="auto"/>
        <w:jc w:val="center"/>
      </w:pPr>
    </w:p>
    <w:p w14:paraId="756E671C" w14:textId="656350D2" w:rsidR="004929BA" w:rsidRPr="00A35422" w:rsidRDefault="004929BA" w:rsidP="00D10656">
      <w:pPr>
        <w:pStyle w:val="Caption"/>
        <w:jc w:val="center"/>
      </w:pPr>
      <w:bookmarkStart w:id="29" w:name="_Ref22145505"/>
      <w:r w:rsidRPr="00D10656">
        <w:rPr>
          <w:sz w:val="22"/>
          <w:szCs w:val="22"/>
        </w:rPr>
        <w:t xml:space="preserve">Table </w:t>
      </w:r>
      <w:r w:rsidRPr="00D10656">
        <w:rPr>
          <w:sz w:val="22"/>
          <w:szCs w:val="22"/>
        </w:rPr>
        <w:fldChar w:fldCharType="begin"/>
      </w:r>
      <w:r w:rsidRPr="00D10656">
        <w:rPr>
          <w:sz w:val="22"/>
          <w:szCs w:val="22"/>
        </w:rPr>
        <w:instrText xml:space="preserve"> SEQ Table \* ARABIC </w:instrText>
      </w:r>
      <w:r w:rsidRPr="00D10656">
        <w:rPr>
          <w:sz w:val="22"/>
          <w:szCs w:val="22"/>
        </w:rPr>
        <w:fldChar w:fldCharType="separate"/>
      </w:r>
      <w:r w:rsidRPr="00D10656">
        <w:rPr>
          <w:noProof/>
          <w:sz w:val="22"/>
          <w:szCs w:val="22"/>
        </w:rPr>
        <w:t>3</w:t>
      </w:r>
      <w:r w:rsidRPr="00D10656">
        <w:rPr>
          <w:sz w:val="22"/>
          <w:szCs w:val="22"/>
        </w:rPr>
        <w:fldChar w:fldCharType="end"/>
      </w:r>
      <w:bookmarkEnd w:id="29"/>
      <w:r w:rsidRPr="00D10656">
        <w:rPr>
          <w:sz w:val="22"/>
          <w:szCs w:val="22"/>
        </w:rPr>
        <w:t xml:space="preserve"> Annual Source Energy and Emissions for Natural Gas used at the Site</w:t>
      </w:r>
    </w:p>
    <w:tbl>
      <w:tblPr>
        <w:tblStyle w:val="TableGrid"/>
        <w:tblW w:w="0" w:type="auto"/>
        <w:jc w:val="center"/>
        <w:tblLook w:val="04A0" w:firstRow="1" w:lastRow="0" w:firstColumn="1" w:lastColumn="0" w:noHBand="0" w:noVBand="1"/>
      </w:tblPr>
      <w:tblGrid>
        <w:gridCol w:w="1795"/>
        <w:gridCol w:w="3060"/>
        <w:gridCol w:w="2250"/>
      </w:tblGrid>
      <w:tr w:rsidR="1D9A0257" w14:paraId="524A7F9D" w14:textId="77777777" w:rsidTr="00D10656">
        <w:trPr>
          <w:trHeight w:val="640"/>
          <w:jc w:val="center"/>
        </w:trPr>
        <w:tc>
          <w:tcPr>
            <w:tcW w:w="1795" w:type="dxa"/>
            <w:vAlign w:val="center"/>
          </w:tcPr>
          <w:p w14:paraId="1BE5633A" w14:textId="77777777" w:rsidR="1D9A0257" w:rsidRPr="00DA112E" w:rsidRDefault="1D9A0257" w:rsidP="00D10656">
            <w:pPr>
              <w:jc w:val="center"/>
              <w:rPr>
                <w:rFonts w:cs="Arial"/>
              </w:rPr>
            </w:pPr>
            <w:r w:rsidRPr="00D10656">
              <w:rPr>
                <w:rFonts w:eastAsia="Times New Roman" w:cs="Arial"/>
                <w:b/>
                <w:bCs/>
                <w:color w:val="000000" w:themeColor="text1"/>
              </w:rPr>
              <w:t>Year</w:t>
            </w:r>
          </w:p>
        </w:tc>
        <w:tc>
          <w:tcPr>
            <w:tcW w:w="3060" w:type="dxa"/>
            <w:vAlign w:val="center"/>
          </w:tcPr>
          <w:p w14:paraId="7D48F52A" w14:textId="77777777" w:rsidR="1D9A0257" w:rsidRPr="00D10656" w:rsidRDefault="1D9A0257" w:rsidP="00D10656">
            <w:pPr>
              <w:jc w:val="center"/>
              <w:rPr>
                <w:rFonts w:eastAsia="Times New Roman" w:cs="Arial"/>
                <w:b/>
                <w:bCs/>
                <w:color w:val="000000" w:themeColor="text1"/>
              </w:rPr>
            </w:pPr>
            <w:r w:rsidRPr="00D10656">
              <w:rPr>
                <w:rFonts w:eastAsia="Times New Roman" w:cs="Arial"/>
                <w:b/>
                <w:bCs/>
                <w:color w:val="000000" w:themeColor="text1"/>
              </w:rPr>
              <w:t>Emissions Intensity</w:t>
            </w:r>
          </w:p>
          <w:p w14:paraId="6B69118F" w14:textId="77777777" w:rsidR="1D9A0257" w:rsidRPr="00D10656" w:rsidRDefault="1D9A0257" w:rsidP="00D10656">
            <w:pPr>
              <w:spacing w:after="200" w:line="276" w:lineRule="auto"/>
              <w:jc w:val="center"/>
              <w:rPr>
                <w:rFonts w:eastAsia="Times New Roman" w:cs="Arial"/>
                <w:b/>
                <w:bCs/>
                <w:color w:val="000000" w:themeColor="text1"/>
              </w:rPr>
            </w:pPr>
            <w:r w:rsidRPr="00D10656">
              <w:rPr>
                <w:rFonts w:eastAsia="Times New Roman" w:cs="Arial"/>
                <w:b/>
                <w:bCs/>
                <w:color w:val="000000" w:themeColor="text1"/>
              </w:rPr>
              <w:t xml:space="preserve">(metric </w:t>
            </w:r>
            <w:proofErr w:type="spellStart"/>
            <w:r w:rsidRPr="00D10656">
              <w:rPr>
                <w:rFonts w:eastAsia="Times New Roman" w:cs="Arial"/>
                <w:b/>
                <w:bCs/>
                <w:color w:val="000000" w:themeColor="text1"/>
              </w:rPr>
              <w:t>tonnes</w:t>
            </w:r>
            <w:proofErr w:type="spellEnd"/>
            <w:r w:rsidRPr="00D10656">
              <w:rPr>
                <w:rFonts w:eastAsia="Times New Roman" w:cs="Arial"/>
                <w:b/>
                <w:bCs/>
                <w:color w:val="000000" w:themeColor="text1"/>
              </w:rPr>
              <w:t xml:space="preserve"> CO</w:t>
            </w:r>
            <w:r w:rsidRPr="00D10656">
              <w:rPr>
                <w:rFonts w:eastAsia="Times New Roman" w:cs="Arial"/>
                <w:b/>
                <w:bCs/>
                <w:color w:val="000000" w:themeColor="text1"/>
                <w:vertAlign w:val="subscript"/>
              </w:rPr>
              <w:t>2</w:t>
            </w:r>
            <w:r w:rsidRPr="00D10656">
              <w:rPr>
                <w:rFonts w:eastAsia="Times New Roman" w:cs="Arial"/>
                <w:b/>
                <w:bCs/>
                <w:color w:val="000000" w:themeColor="text1"/>
              </w:rPr>
              <w:t>/</w:t>
            </w:r>
            <w:proofErr w:type="spellStart"/>
            <w:r w:rsidRPr="00D10656">
              <w:rPr>
                <w:rFonts w:eastAsia="Times New Roman" w:cs="Arial"/>
                <w:b/>
                <w:bCs/>
                <w:color w:val="000000" w:themeColor="text1"/>
              </w:rPr>
              <w:t>Therm</w:t>
            </w:r>
            <w:proofErr w:type="spellEnd"/>
            <w:r w:rsidRPr="00D10656">
              <w:rPr>
                <w:rFonts w:eastAsia="Times New Roman" w:cs="Arial"/>
                <w:b/>
                <w:bCs/>
                <w:color w:val="000000" w:themeColor="text1"/>
              </w:rPr>
              <w:t>)</w:t>
            </w:r>
          </w:p>
        </w:tc>
        <w:tc>
          <w:tcPr>
            <w:tcW w:w="2250" w:type="dxa"/>
            <w:vAlign w:val="center"/>
          </w:tcPr>
          <w:p w14:paraId="14BBE3BB" w14:textId="77777777" w:rsidR="1D9A0257" w:rsidRPr="00DA112E" w:rsidRDefault="1D9A0257" w:rsidP="00D10656">
            <w:pPr>
              <w:spacing w:after="200" w:line="276" w:lineRule="auto"/>
              <w:jc w:val="center"/>
              <w:rPr>
                <w:rFonts w:cs="Arial"/>
              </w:rPr>
            </w:pPr>
            <w:r w:rsidRPr="00D10656">
              <w:rPr>
                <w:rFonts w:eastAsia="Times New Roman" w:cs="Arial"/>
                <w:b/>
                <w:bCs/>
                <w:color w:val="000000" w:themeColor="text1"/>
              </w:rPr>
              <w:t>Source Energy (Btu/</w:t>
            </w:r>
            <w:proofErr w:type="spellStart"/>
            <w:r w:rsidRPr="00D10656">
              <w:rPr>
                <w:rFonts w:eastAsia="Times New Roman" w:cs="Arial"/>
                <w:b/>
                <w:bCs/>
                <w:color w:val="000000" w:themeColor="text1"/>
              </w:rPr>
              <w:t>Therm</w:t>
            </w:r>
            <w:proofErr w:type="spellEnd"/>
            <w:r w:rsidRPr="00D10656">
              <w:rPr>
                <w:rFonts w:eastAsia="Times New Roman" w:cs="Arial"/>
                <w:b/>
                <w:bCs/>
                <w:color w:val="000000" w:themeColor="text1"/>
              </w:rPr>
              <w:t>)</w:t>
            </w:r>
          </w:p>
        </w:tc>
      </w:tr>
      <w:tr w:rsidR="1D9A0257" w14:paraId="5B950121" w14:textId="77777777" w:rsidTr="00D10656">
        <w:trPr>
          <w:jc w:val="center"/>
        </w:trPr>
        <w:tc>
          <w:tcPr>
            <w:tcW w:w="1795" w:type="dxa"/>
            <w:vAlign w:val="center"/>
          </w:tcPr>
          <w:p w14:paraId="2BA39AF2" w14:textId="77777777" w:rsidR="1D9A0257" w:rsidRPr="00DA112E" w:rsidRDefault="1D9A0257" w:rsidP="00D10656">
            <w:pPr>
              <w:jc w:val="center"/>
              <w:rPr>
                <w:rFonts w:cs="Arial"/>
              </w:rPr>
            </w:pPr>
            <w:r w:rsidRPr="00D10656">
              <w:rPr>
                <w:rFonts w:eastAsia="Times New Roman" w:cs="Arial"/>
                <w:color w:val="000000" w:themeColor="text1"/>
              </w:rPr>
              <w:t>Constant over the years</w:t>
            </w:r>
          </w:p>
        </w:tc>
        <w:tc>
          <w:tcPr>
            <w:tcW w:w="3060" w:type="dxa"/>
            <w:vAlign w:val="center"/>
          </w:tcPr>
          <w:p w14:paraId="3C3AB2B9" w14:textId="77777777" w:rsidR="1D9A0257" w:rsidRPr="00D10656" w:rsidRDefault="1D9A0257" w:rsidP="00D10656">
            <w:pPr>
              <w:jc w:val="center"/>
              <w:rPr>
                <w:rFonts w:eastAsia="Times New Roman" w:cs="Arial"/>
                <w:color w:val="000000" w:themeColor="text1"/>
              </w:rPr>
            </w:pPr>
            <w:r w:rsidRPr="00D10656">
              <w:rPr>
                <w:rFonts w:eastAsia="Times New Roman" w:cs="Arial"/>
                <w:color w:val="000000" w:themeColor="text1"/>
              </w:rPr>
              <w:t>0.00531</w:t>
            </w:r>
          </w:p>
        </w:tc>
        <w:tc>
          <w:tcPr>
            <w:tcW w:w="2250" w:type="dxa"/>
            <w:vAlign w:val="center"/>
          </w:tcPr>
          <w:p w14:paraId="32BF955D" w14:textId="77777777" w:rsidR="1D9A0257" w:rsidRPr="00D10656" w:rsidRDefault="1D9A0257" w:rsidP="00D10656">
            <w:pPr>
              <w:jc w:val="center"/>
              <w:rPr>
                <w:rFonts w:eastAsia="Times New Roman" w:cs="Arial"/>
                <w:color w:val="000000" w:themeColor="text1"/>
              </w:rPr>
            </w:pPr>
            <w:r w:rsidRPr="00D10656">
              <w:rPr>
                <w:rFonts w:eastAsia="Times New Roman" w:cs="Arial"/>
                <w:color w:val="000000" w:themeColor="text1"/>
              </w:rPr>
              <w:t>100,000</w:t>
            </w:r>
          </w:p>
        </w:tc>
      </w:tr>
    </w:tbl>
    <w:p w14:paraId="7015A6C0" w14:textId="2D98F11F" w:rsidR="005B6309" w:rsidRDefault="005B6309" w:rsidP="00B436AC">
      <w:bookmarkStart w:id="30" w:name="_Toc19217075"/>
      <w:bookmarkStart w:id="31" w:name="_Toc19217114"/>
      <w:bookmarkStart w:id="32" w:name="_Toc19217076"/>
      <w:bookmarkStart w:id="33" w:name="_Toc19217115"/>
      <w:bookmarkStart w:id="34" w:name="_Toc19161275"/>
      <w:bookmarkStart w:id="35" w:name="_Toc19180954"/>
      <w:bookmarkStart w:id="36" w:name="_Toc19186751"/>
      <w:bookmarkStart w:id="37" w:name="_Toc19188055"/>
      <w:bookmarkStart w:id="38" w:name="_Toc19217077"/>
      <w:bookmarkStart w:id="39" w:name="_Toc19217116"/>
      <w:bookmarkStart w:id="40" w:name="_Toc19112492"/>
      <w:bookmarkStart w:id="41" w:name="_Toc19161277"/>
      <w:bookmarkStart w:id="42" w:name="_Toc19180956"/>
      <w:bookmarkStart w:id="43" w:name="_Toc19186753"/>
      <w:bookmarkStart w:id="44" w:name="_Toc19188057"/>
      <w:bookmarkStart w:id="45" w:name="_Toc19217079"/>
      <w:bookmarkStart w:id="46" w:name="_Toc19217118"/>
      <w:bookmarkStart w:id="47" w:name="_Toc19112493"/>
      <w:bookmarkStart w:id="48" w:name="_Toc19161278"/>
      <w:bookmarkStart w:id="49" w:name="_Toc19180957"/>
      <w:bookmarkStart w:id="50" w:name="_Toc19186754"/>
      <w:bookmarkStart w:id="51" w:name="_Toc19188058"/>
      <w:bookmarkStart w:id="52" w:name="_Toc19217080"/>
      <w:bookmarkStart w:id="53" w:name="_Toc19217119"/>
      <w:bookmarkStart w:id="54" w:name="_Toc19112494"/>
      <w:bookmarkStart w:id="55" w:name="_Toc19161279"/>
      <w:bookmarkStart w:id="56" w:name="_Toc19180958"/>
      <w:bookmarkStart w:id="57" w:name="_Toc19186755"/>
      <w:bookmarkStart w:id="58" w:name="_Toc19188059"/>
      <w:bookmarkStart w:id="59" w:name="_Toc19217081"/>
      <w:bookmarkStart w:id="60" w:name="_Toc19217120"/>
      <w:bookmarkStart w:id="61" w:name="_Toc19112495"/>
      <w:bookmarkStart w:id="62" w:name="_Toc19161280"/>
      <w:bookmarkStart w:id="63" w:name="_Toc19180959"/>
      <w:bookmarkStart w:id="64" w:name="_Toc19186756"/>
      <w:bookmarkStart w:id="65" w:name="_Toc19188060"/>
      <w:bookmarkStart w:id="66" w:name="_Toc19217082"/>
      <w:bookmarkStart w:id="67" w:name="_Toc19217121"/>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03833E69" w14:textId="77777777" w:rsidR="0091403B" w:rsidRPr="0091403B" w:rsidRDefault="0091403B" w:rsidP="0091403B">
      <w:pPr>
        <w:pStyle w:val="Heading3"/>
      </w:pPr>
      <w:bookmarkStart w:id="68" w:name="_Toc23249996"/>
      <w:r w:rsidRPr="0091403B">
        <w:t>2.3 Calculate CO</w:t>
      </w:r>
      <w:r w:rsidRPr="0091403B">
        <w:rPr>
          <w:vertAlign w:val="subscript"/>
        </w:rPr>
        <w:t>2</w:t>
      </w:r>
      <w:r w:rsidRPr="0091403B">
        <w:t xml:space="preserve"> Emission Savings</w:t>
      </w:r>
      <w:bookmarkEnd w:id="68"/>
    </w:p>
    <w:p w14:paraId="5CFE0581" w14:textId="77777777" w:rsidR="0091403B" w:rsidRPr="00E9435E" w:rsidRDefault="0091403B" w:rsidP="0091403B"/>
    <w:p w14:paraId="18260B05" w14:textId="7C5943EE" w:rsidR="0091403B" w:rsidRPr="00E9435E" w:rsidRDefault="0091403B" w:rsidP="0091403B">
      <w:r w:rsidRPr="00E9435E">
        <w:t xml:space="preserve">Part </w:t>
      </w:r>
      <w:r>
        <w:t>Two</w:t>
      </w:r>
      <w:r w:rsidRPr="00E9435E">
        <w:t xml:space="preserve"> of the test requires that fuel substitution measures not adversely impact the environment. </w:t>
      </w:r>
      <w:r>
        <w:t xml:space="preserve">As per Decision D.09-12-022, measurement of environmental impact is limited to </w:t>
      </w:r>
      <w:r w:rsidRPr="00E9435E">
        <w:t xml:space="preserve">carbon dioxide </w:t>
      </w:r>
      <w:r>
        <w:t>(CO</w:t>
      </w:r>
      <w:r w:rsidRPr="0098537A">
        <w:rPr>
          <w:vertAlign w:val="subscript"/>
        </w:rPr>
        <w:t>2</w:t>
      </w:r>
      <w:r>
        <w:t>) emissions. To pass Part Two of the test, life</w:t>
      </w:r>
      <w:r w:rsidRPr="00E9435E">
        <w:t>-cycle</w:t>
      </w:r>
      <w:r w:rsidRPr="0EEB5152" w:rsidDel="00D009DC">
        <w:t xml:space="preserve"> </w:t>
      </w:r>
      <w:r w:rsidRPr="00E9435E">
        <w:t>CO</w:t>
      </w:r>
      <w:r w:rsidRPr="00E9435E">
        <w:rPr>
          <w:vertAlign w:val="subscript"/>
        </w:rPr>
        <w:t>2</w:t>
      </w:r>
      <w:r w:rsidRPr="0EEB5152">
        <w:t xml:space="preserve"> </w:t>
      </w:r>
      <w:r>
        <w:t>emissions must</w:t>
      </w:r>
      <w:r w:rsidRPr="0EEB5152">
        <w:t xml:space="preserve"> </w:t>
      </w:r>
      <w:r w:rsidRPr="00E9435E">
        <w:t xml:space="preserve">be lower for the measure </w:t>
      </w:r>
      <w:r>
        <w:t>technology than for</w:t>
      </w:r>
      <w:r w:rsidRPr="00E9435E">
        <w:t xml:space="preserve"> the baseline technology</w:t>
      </w:r>
      <w:r w:rsidRPr="0EEB5152">
        <w:t>.</w:t>
      </w:r>
      <w:r w:rsidRPr="00E9435E">
        <w:rPr>
          <w:rStyle w:val="FootnoteReference"/>
        </w:rPr>
        <w:footnoteReference w:id="16"/>
      </w:r>
      <w:r w:rsidRPr="0EEB5152">
        <w:t xml:space="preserve">  </w:t>
      </w:r>
      <w:r w:rsidRPr="00E9435E">
        <w:t>Life-cycle CO</w:t>
      </w:r>
      <w:r w:rsidRPr="00E9435E">
        <w:rPr>
          <w:vertAlign w:val="subscript"/>
        </w:rPr>
        <w:t>2</w:t>
      </w:r>
      <w:r w:rsidRPr="0EEB5152">
        <w:t xml:space="preserve"> </w:t>
      </w:r>
      <w:r>
        <w:t xml:space="preserve">emissions are defined as </w:t>
      </w:r>
      <w:r w:rsidRPr="00E9435E">
        <w:t>the</w:t>
      </w:r>
      <w:r>
        <w:t xml:space="preserve"> total</w:t>
      </w:r>
      <w:r w:rsidRPr="00E9435E">
        <w:t xml:space="preserve"> CO</w:t>
      </w:r>
      <w:r w:rsidRPr="00E9435E">
        <w:rPr>
          <w:vertAlign w:val="subscript"/>
        </w:rPr>
        <w:t xml:space="preserve">2 </w:t>
      </w:r>
      <w:r w:rsidRPr="0098537A">
        <w:t xml:space="preserve">emissions </w:t>
      </w:r>
      <w:r w:rsidRPr="00E9435E">
        <w:t>over the EUL of the measure</w:t>
      </w:r>
      <w:r>
        <w:t xml:space="preserve"> technology</w:t>
      </w:r>
      <w:r w:rsidRPr="0EEB5152">
        <w:t>.</w:t>
      </w:r>
    </w:p>
    <w:p w14:paraId="06817A8A" w14:textId="77777777" w:rsidR="0091403B" w:rsidRPr="00E9435E" w:rsidRDefault="0091403B" w:rsidP="0091403B"/>
    <w:p w14:paraId="3046AAB2" w14:textId="77777777" w:rsidR="0091403B" w:rsidRPr="00E9435E" w:rsidRDefault="0091403B" w:rsidP="0091403B">
      <w:r w:rsidRPr="0EEB5152">
        <w:t>To</w:t>
      </w:r>
      <w:r w:rsidRPr="10DD29B0">
        <w:t xml:space="preserve"> </w:t>
      </w:r>
      <w:r w:rsidRPr="0EEB5152">
        <w:t xml:space="preserve">determine </w:t>
      </w:r>
      <w:r w:rsidRPr="2FC5CD72">
        <w:t>if a fuel substitution measure</w:t>
      </w:r>
      <w:r w:rsidRPr="10DD29B0">
        <w:t xml:space="preserve"> </w:t>
      </w:r>
      <w:r w:rsidRPr="0D5E90B9">
        <w:t xml:space="preserve">passes </w:t>
      </w:r>
      <w:r>
        <w:t>Part Two</w:t>
      </w:r>
      <w:r w:rsidRPr="0D5E90B9">
        <w:t xml:space="preserve"> of the fuel substitution test, program developers </w:t>
      </w:r>
      <w:r>
        <w:t>must</w:t>
      </w:r>
      <w:r w:rsidRPr="0D5E90B9">
        <w:t xml:space="preserve"> use the </w:t>
      </w:r>
      <w:r>
        <w:t>F</w:t>
      </w:r>
      <w:r w:rsidRPr="0D5E90B9">
        <w:t xml:space="preserve">uel </w:t>
      </w:r>
      <w:r>
        <w:t>S</w:t>
      </w:r>
      <w:r w:rsidRPr="0D5E90B9">
        <w:t xml:space="preserve">ubstitution </w:t>
      </w:r>
      <w:r>
        <w:t>C</w:t>
      </w:r>
      <w:r w:rsidRPr="0D5E90B9">
        <w:t>alculator.</w:t>
      </w:r>
      <w:r w:rsidRPr="10DD29B0">
        <w:t xml:space="preserve">  </w:t>
      </w:r>
      <w:r>
        <w:t>Calculator i</w:t>
      </w:r>
      <w:r w:rsidRPr="3077EC12">
        <w:t xml:space="preserve">nstructions </w:t>
      </w:r>
      <w:r w:rsidRPr="462B7AF0">
        <w:t xml:space="preserve">are included in the introduction tab. Users input measure specific values into section one of the “Fuel Sub Calcs” tab. In </w:t>
      </w:r>
      <w:r>
        <w:t>Part Two</w:t>
      </w:r>
      <w:r w:rsidRPr="462B7AF0">
        <w:t xml:space="preserve"> of section</w:t>
      </w:r>
      <w:r w:rsidRPr="10DD29B0">
        <w:t xml:space="preserve"> </w:t>
      </w:r>
      <w:r w:rsidRPr="462B7AF0">
        <w:t>two, the calculator displays</w:t>
      </w:r>
      <w:r w:rsidRPr="0A9B0A48">
        <w:t xml:space="preserve"> the </w:t>
      </w:r>
      <w:r>
        <w:t>life-cycle</w:t>
      </w:r>
      <w:r w:rsidRPr="0A9B0A48">
        <w:t xml:space="preserve"> emissions savings and has a field indicating if the measure passed</w:t>
      </w:r>
      <w:r w:rsidRPr="10DD29B0">
        <w:t xml:space="preserve"> </w:t>
      </w:r>
      <w:r w:rsidRPr="0A9B0A48">
        <w:t xml:space="preserve">or failed. Section two of the “Fuel Sub Calcs” tab also states if the measure is eligible or ineligible for energy efficiency incentives based on the results of </w:t>
      </w:r>
      <w:r>
        <w:t>Part One</w:t>
      </w:r>
      <w:r w:rsidRPr="0A9B0A48">
        <w:t xml:space="preserve"> and </w:t>
      </w:r>
      <w:r>
        <w:t>Part Two</w:t>
      </w:r>
      <w:r w:rsidRPr="0A9B0A48">
        <w:t xml:space="preserve"> of the fuel substitution test.</w:t>
      </w:r>
    </w:p>
    <w:p w14:paraId="220F28BC" w14:textId="77777777" w:rsidR="0091403B" w:rsidRPr="00E9435E" w:rsidRDefault="0091403B" w:rsidP="0091403B"/>
    <w:p w14:paraId="5F670308" w14:textId="43E01278" w:rsidR="0091403B" w:rsidRPr="0091403B" w:rsidRDefault="0091403B" w:rsidP="00B436AC">
      <w:pPr>
        <w:rPr>
          <w:rFonts w:asciiTheme="minorHAnsi" w:hAnsiTheme="minorHAnsi"/>
        </w:rPr>
      </w:pPr>
      <w:r w:rsidRPr="00E9435E">
        <w:t>The methodology for calculating</w:t>
      </w:r>
      <w:r>
        <w:t xml:space="preserve"> a measure’s CO</w:t>
      </w:r>
      <w:r w:rsidRPr="00D10656">
        <w:rPr>
          <w:vertAlign w:val="subscript"/>
        </w:rPr>
        <w:t xml:space="preserve">2 </w:t>
      </w:r>
      <w:r>
        <w:t>emissions is described in greater detail in Appendix A. Briefly, the approach for calculating</w:t>
      </w:r>
      <w:r w:rsidRPr="49EC111F">
        <w:t xml:space="preserve"> </w:t>
      </w:r>
      <w:r w:rsidRPr="00E9435E">
        <w:t>CO</w:t>
      </w:r>
      <w:r w:rsidRPr="00E9435E">
        <w:rPr>
          <w:vertAlign w:val="subscript"/>
        </w:rPr>
        <w:t>2</w:t>
      </w:r>
      <w:r>
        <w:rPr>
          <w:vertAlign w:val="subscript"/>
        </w:rPr>
        <w:t xml:space="preserve"> </w:t>
      </w:r>
      <w:r>
        <w:t>emissions for electricity and natural gas</w:t>
      </w:r>
      <w:r w:rsidDel="4526519C">
        <w:t xml:space="preserve"> </w:t>
      </w:r>
      <w:r>
        <w:t>is</w:t>
      </w:r>
      <w:r w:rsidRPr="49EC111F">
        <w:t xml:space="preserve"> </w:t>
      </w:r>
      <w:proofErr w:type="gramStart"/>
      <w:r>
        <w:t>similar to</w:t>
      </w:r>
      <w:proofErr w:type="gramEnd"/>
      <w:r>
        <w:t xml:space="preserve"> the</w:t>
      </w:r>
      <w:r w:rsidRPr="49EC111F">
        <w:t xml:space="preserve"> </w:t>
      </w:r>
      <w:r>
        <w:t>methodology used to calculate the source energy factors</w:t>
      </w:r>
      <w:r w:rsidRPr="49EC111F">
        <w:t xml:space="preserve">. </w:t>
      </w:r>
      <w:r w:rsidRPr="00D10656">
        <w:rPr>
          <w:rFonts w:asciiTheme="minorHAnsi" w:hAnsiTheme="minorHAnsi"/>
        </w:rPr>
        <w:t>Like</w:t>
      </w:r>
      <w:r w:rsidRPr="00DA112E">
        <w:rPr>
          <w:rFonts w:asciiTheme="minorHAnsi" w:hAnsiTheme="minorHAnsi"/>
        </w:rPr>
        <w:t xml:space="preserve"> the </w:t>
      </w:r>
      <w:r w:rsidRPr="004C129A">
        <w:rPr>
          <w:rFonts w:asciiTheme="minorHAnsi" w:hAnsiTheme="minorHAnsi"/>
        </w:rPr>
        <w:t>source energy calculation</w:t>
      </w:r>
      <w:r w:rsidRPr="00DA112E">
        <w:rPr>
          <w:rFonts w:asciiTheme="minorHAnsi" w:hAnsiTheme="minorHAnsi"/>
        </w:rPr>
        <w:t>,</w:t>
      </w:r>
      <w:r w:rsidRPr="004C129A">
        <w:rPr>
          <w:rFonts w:asciiTheme="minorHAnsi" w:hAnsiTheme="minorHAnsi"/>
        </w:rPr>
        <w:t xml:space="preserve"> t</w:t>
      </w:r>
      <w:r>
        <w:t>he life-cycle CO</w:t>
      </w:r>
      <w:r w:rsidRPr="00D10656">
        <w:rPr>
          <w:vertAlign w:val="subscript"/>
        </w:rPr>
        <w:t>2</w:t>
      </w:r>
      <w:r>
        <w:t xml:space="preserve"> emissions of a fuel substitution measure are calculated by applying the annual</w:t>
      </w:r>
      <w:r w:rsidRPr="3143B019">
        <w:t xml:space="preserve"> </w:t>
      </w:r>
      <w:r>
        <w:t xml:space="preserve">factors from </w:t>
      </w:r>
      <w:fldSimple w:instr=" REF _Ref22145245 ">
        <w:r w:rsidRPr="00516F99">
          <w:t xml:space="preserve">Table </w:t>
        </w:r>
        <w:r w:rsidRPr="00D10656">
          <w:rPr>
            <w:noProof/>
          </w:rPr>
          <w:t>2</w:t>
        </w:r>
      </w:fldSimple>
      <w:r>
        <w:t xml:space="preserve"> and </w:t>
      </w:r>
      <w:fldSimple w:instr=" REF _Ref22145505 ">
        <w:r w:rsidRPr="00516F99">
          <w:t xml:space="preserve">Table </w:t>
        </w:r>
        <w:r w:rsidRPr="00516F99">
          <w:rPr>
            <w:noProof/>
          </w:rPr>
          <w:t>3</w:t>
        </w:r>
      </w:fldSimple>
      <w:r>
        <w:t xml:space="preserve"> </w:t>
      </w:r>
      <w:r w:rsidRPr="3143B019">
        <w:t>(</w:t>
      </w:r>
      <w:r>
        <w:t xml:space="preserve">in metric </w:t>
      </w:r>
      <w:proofErr w:type="spellStart"/>
      <w:r>
        <w:t>tonnes</w:t>
      </w:r>
      <w:proofErr w:type="spellEnd"/>
      <w:r w:rsidRPr="3143B019">
        <w:t>/</w:t>
      </w:r>
      <w:r>
        <w:t>M</w:t>
      </w:r>
      <w:r w:rsidRPr="00E9435E">
        <w:t xml:space="preserve">Wh and </w:t>
      </w:r>
      <w:r>
        <w:t xml:space="preserve">metric </w:t>
      </w:r>
      <w:proofErr w:type="spellStart"/>
      <w:r>
        <w:lastRenderedPageBreak/>
        <w:t>tonnes</w:t>
      </w:r>
      <w:proofErr w:type="spellEnd"/>
      <w:r w:rsidRPr="3143B019">
        <w:t>/</w:t>
      </w:r>
      <w:proofErr w:type="spellStart"/>
      <w:r>
        <w:t>Therm</w:t>
      </w:r>
      <w:proofErr w:type="spellEnd"/>
      <w:r>
        <w:t xml:space="preserve"> respectively, for electricity and natural gas</w:t>
      </w:r>
      <w:r w:rsidRPr="3143B019">
        <w:t xml:space="preserve">) </w:t>
      </w:r>
      <w:r>
        <w:t>to the site energy savings in each year of</w:t>
      </w:r>
      <w:r w:rsidRPr="00E9435E">
        <w:t xml:space="preserve"> the measure’s EUL</w:t>
      </w:r>
      <w:r w:rsidRPr="3143B019">
        <w:t xml:space="preserve">. </w:t>
      </w:r>
      <w:r w:rsidRPr="00DA112E">
        <w:rPr>
          <w:rFonts w:asciiTheme="minorHAnsi" w:hAnsiTheme="minorHAnsi"/>
        </w:rPr>
        <w:t xml:space="preserve">Please refer to the equations in </w:t>
      </w:r>
      <w:r>
        <w:rPr>
          <w:rFonts w:asciiTheme="minorHAnsi" w:hAnsiTheme="minorHAnsi"/>
        </w:rPr>
        <w:t>Chapter 3</w:t>
      </w:r>
      <w:r w:rsidRPr="004C129A">
        <w:rPr>
          <w:rFonts w:asciiTheme="minorHAnsi" w:hAnsiTheme="minorHAnsi"/>
        </w:rPr>
        <w:t xml:space="preserve"> for details.</w:t>
      </w:r>
    </w:p>
    <w:p w14:paraId="789659C6" w14:textId="77777777" w:rsidR="0091403B" w:rsidRPr="00E9435E" w:rsidRDefault="0091403B" w:rsidP="00B436AC"/>
    <w:p w14:paraId="001F9434" w14:textId="60615247" w:rsidR="0048684F" w:rsidRPr="00E9435E" w:rsidRDefault="0048684F" w:rsidP="00AB2BFB">
      <w:pPr>
        <w:pStyle w:val="Heading2"/>
      </w:pPr>
      <w:bookmarkStart w:id="69" w:name="_Toc23249997"/>
      <w:bookmarkStart w:id="70" w:name="_Toc20765365"/>
      <w:r>
        <w:t xml:space="preserve">Step </w:t>
      </w:r>
      <w:r w:rsidR="0091403B">
        <w:t>3</w:t>
      </w:r>
      <w:r>
        <w:t xml:space="preserve"> – </w:t>
      </w:r>
      <w:r w:rsidR="002A12B2">
        <w:t>Determine Submission Process: Deemed Workpapers or Custom Project</w:t>
      </w:r>
      <w:bookmarkEnd w:id="69"/>
      <w:r>
        <w:t xml:space="preserve"> </w:t>
      </w:r>
    </w:p>
    <w:p w14:paraId="568547C3" w14:textId="77777777" w:rsidR="0048684F" w:rsidRDefault="0048684F" w:rsidP="0048684F"/>
    <w:p w14:paraId="6872BF0B" w14:textId="6DB9B873" w:rsidR="00DE6C0D" w:rsidRDefault="00DE6C0D" w:rsidP="00D10656">
      <w:r>
        <w:t>If the measure technology passes the fuel substi</w:t>
      </w:r>
      <w:r w:rsidR="004D78FC">
        <w:t>tution test, it is eligible for</w:t>
      </w:r>
      <w:r>
        <w:t xml:space="preserve"> energy efficiency programs. A measure may be offered as a deemed measure or within a custom project.  </w:t>
      </w:r>
      <w:r w:rsidR="002A306B">
        <w:t>CPUC EE program administrator should follow the standard deemed workpaper process or custom project process to seek approval to offer a fuel substitution measure technology, in accordance with the additional guidance below.</w:t>
      </w:r>
    </w:p>
    <w:p w14:paraId="7E69DB72" w14:textId="77777777" w:rsidR="00DE6C0D" w:rsidRDefault="00DE6C0D" w:rsidP="00D10656"/>
    <w:p w14:paraId="25574C3A" w14:textId="534D2BDB" w:rsidR="00DE6C0D" w:rsidRDefault="00DE6C0D" w:rsidP="00D10656">
      <w:r>
        <w:t xml:space="preserve">If the fuel substitution measure is deemed, a workpaper must be </w:t>
      </w:r>
      <w:r w:rsidR="004D78FC">
        <w:t xml:space="preserve">approved by the CPUC prior to use in energy efficiency programs. </w:t>
      </w:r>
      <w:r>
        <w:t xml:space="preserve">The workpaper must be submitted by the IOUs </w:t>
      </w:r>
      <w:r w:rsidR="0015002F">
        <w:t xml:space="preserve">or other CPUC EE program administrators </w:t>
      </w:r>
      <w:r>
        <w:t>to the CPUC for review and approval</w:t>
      </w:r>
      <w:r w:rsidR="00766C19">
        <w:t>.</w:t>
      </w:r>
      <w:r>
        <w:rPr>
          <w:rStyle w:val="FootnoteReference"/>
        </w:rPr>
        <w:footnoteReference w:id="17"/>
      </w:r>
      <w:r>
        <w:t xml:space="preserve">  Workpapers with fuel substitution measures must include the completed Fuel Substitution Calculator.  Workpapers must also </w:t>
      </w:r>
      <w:r w:rsidR="00D01002">
        <w:t>include</w:t>
      </w:r>
      <w:r>
        <w:t xml:space="preserve"> the site energy consumption and savings values calculated in Step </w:t>
      </w:r>
      <w:r w:rsidR="00AA7C1C">
        <w:t>2.1</w:t>
      </w:r>
      <w:r>
        <w:t>.</w:t>
      </w:r>
      <w:r w:rsidR="004D78FC">
        <w:t xml:space="preserve"> </w:t>
      </w:r>
      <w:r w:rsidR="0049579A">
        <w:t xml:space="preserve">For </w:t>
      </w:r>
      <w:r w:rsidR="00037D84">
        <w:t>a</w:t>
      </w:r>
      <w:r w:rsidR="0049579A">
        <w:t xml:space="preserve"> workpaper’s required four ex ante tables, the Measure</w:t>
      </w:r>
      <w:r w:rsidR="65F47478">
        <w:t xml:space="preserve"> </w:t>
      </w:r>
      <w:r w:rsidR="0049579A">
        <w:t>Impact</w:t>
      </w:r>
      <w:r w:rsidR="1589A939">
        <w:t xml:space="preserve"> </w:t>
      </w:r>
      <w:r w:rsidR="0049579A">
        <w:t xml:space="preserve">Type field should be </w:t>
      </w:r>
      <w:r w:rsidR="00051CEB">
        <w:t>selected</w:t>
      </w:r>
      <w:r w:rsidR="0049579A">
        <w:t xml:space="preserve"> as “</w:t>
      </w:r>
      <w:r w:rsidR="00051CEB" w:rsidRPr="00981688">
        <w:t>Fuel Sub-Deemed</w:t>
      </w:r>
      <w:r w:rsidR="0049579A">
        <w:t xml:space="preserve">” for fuel substitution measures. </w:t>
      </w:r>
      <w:r w:rsidR="00636ADE">
        <w:t xml:space="preserve">Lastly, please consult the latest version of DEER for the appropriate </w:t>
      </w:r>
      <w:r w:rsidR="002A306B">
        <w:t>“</w:t>
      </w:r>
      <w:r w:rsidR="00636ADE">
        <w:t>NTG_ID</w:t>
      </w:r>
      <w:r w:rsidR="002A306B">
        <w:t>”</w:t>
      </w:r>
      <w:r w:rsidR="00037D84">
        <w:t>, to appropriately assign a net-to-gross</w:t>
      </w:r>
      <w:r w:rsidR="00636ADE">
        <w:t xml:space="preserve"> for fuel substitution measures. </w:t>
      </w:r>
      <w:r w:rsidR="004D78FC">
        <w:t xml:space="preserve">For more information of deemed measures, please visit: </w:t>
      </w:r>
      <w:r w:rsidR="004D78FC" w:rsidRPr="004D78FC">
        <w:t>http://www.caltf.org/tools</w:t>
      </w:r>
    </w:p>
    <w:p w14:paraId="15E4F7C9" w14:textId="77777777" w:rsidR="00DE6C0D" w:rsidRDefault="00DE6C0D" w:rsidP="00D10656"/>
    <w:p w14:paraId="3281EE9B" w14:textId="2AD47BBD" w:rsidR="00DE6C0D" w:rsidRDefault="00DE6C0D" w:rsidP="00D10656">
      <w:r>
        <w:t xml:space="preserve">If the fuel substitution measure is </w:t>
      </w:r>
      <w:r w:rsidR="00111E80">
        <w:t>part of a custom project</w:t>
      </w:r>
      <w:r>
        <w:t>,</w:t>
      </w:r>
      <w:r w:rsidR="004D78FC">
        <w:t xml:space="preserve"> the custom energy efficiency project package must also include the completed Fuel Substitution Calculator, along with the site energy consumption and savings values calculated in Step </w:t>
      </w:r>
      <w:r w:rsidR="00EA3AEA">
        <w:t>2.1</w:t>
      </w:r>
      <w:r w:rsidR="004D78FC">
        <w:t xml:space="preserve">.  For more information of custom projects, please visit: </w:t>
      </w:r>
      <w:r w:rsidR="004D78FC" w:rsidRPr="004D78FC">
        <w:t>https://www.cpuc.ca.gov/General.aspx?id=4133</w:t>
      </w:r>
    </w:p>
    <w:p w14:paraId="3211D34A" w14:textId="77777777" w:rsidR="0048684F" w:rsidRPr="0048684F" w:rsidRDefault="0048684F" w:rsidP="00D10656"/>
    <w:p w14:paraId="22E6A85A" w14:textId="080BBE43" w:rsidR="0037361C" w:rsidRDefault="00BF284E" w:rsidP="00AB2BFB">
      <w:pPr>
        <w:pStyle w:val="Heading2"/>
      </w:pPr>
      <w:bookmarkStart w:id="71" w:name="_Toc23249998"/>
      <w:r>
        <w:t xml:space="preserve">Step </w:t>
      </w:r>
      <w:r w:rsidR="0091403B">
        <w:t>4</w:t>
      </w:r>
      <w:r>
        <w:t xml:space="preserve"> - </w:t>
      </w:r>
      <w:r w:rsidR="0037361C" w:rsidRPr="00E9435E">
        <w:t xml:space="preserve">Reporting Energy </w:t>
      </w:r>
      <w:r w:rsidR="009143D6" w:rsidRPr="00E9435E">
        <w:t>Savings</w:t>
      </w:r>
      <w:bookmarkEnd w:id="70"/>
      <w:bookmarkEnd w:id="71"/>
    </w:p>
    <w:p w14:paraId="7CFA432D" w14:textId="77777777" w:rsidR="00AB2BFB" w:rsidRPr="00AB2BFB" w:rsidRDefault="00AB2BFB" w:rsidP="00AB2BFB"/>
    <w:p w14:paraId="67051F1E" w14:textId="3A87BA3C" w:rsidR="00AB2BFB" w:rsidRPr="00D10656" w:rsidRDefault="00AB2BFB" w:rsidP="00AB2BFB">
      <w:pPr>
        <w:rPr>
          <w:rFonts w:eastAsia="Arial" w:cs="Arial"/>
        </w:rPr>
      </w:pPr>
      <w:r w:rsidRPr="00D10656">
        <w:rPr>
          <w:rFonts w:eastAsia="Arial" w:cs="Arial"/>
        </w:rPr>
        <w:t>In 2020, the CPUC will update the cost effectiveness tool to streamline the goal reporting and savings reduction processes</w:t>
      </w:r>
      <w:r>
        <w:rPr>
          <w:rFonts w:eastAsia="Arial" w:cs="Arial"/>
        </w:rPr>
        <w:t>, described below</w:t>
      </w:r>
      <w:r w:rsidRPr="00D10656">
        <w:rPr>
          <w:rFonts w:eastAsia="Arial" w:cs="Arial"/>
        </w:rPr>
        <w:t>. The CET will output goal attainment values appropriate to fuel substitution measures in the ‘</w:t>
      </w:r>
      <w:proofErr w:type="spellStart"/>
      <w:r w:rsidRPr="00D10656">
        <w:rPr>
          <w:rFonts w:eastAsia="Arial" w:cs="Arial"/>
        </w:rPr>
        <w:t>GoalAttainment</w:t>
      </w:r>
      <w:proofErr w:type="spellEnd"/>
      <w:r w:rsidRPr="00D10656">
        <w:rPr>
          <w:rFonts w:eastAsia="Arial" w:cs="Arial"/>
        </w:rPr>
        <w:t xml:space="preserve">’ field. For single-fuel PAs, CEDARS will attribute goal attainment to the appropriate gas or electric utility. Program </w:t>
      </w:r>
      <w:r>
        <w:rPr>
          <w:rFonts w:eastAsia="Arial" w:cs="Arial"/>
        </w:rPr>
        <w:t>administrators</w:t>
      </w:r>
      <w:r w:rsidRPr="00D10656">
        <w:rPr>
          <w:rFonts w:eastAsia="Arial" w:cs="Arial"/>
        </w:rPr>
        <w:t xml:space="preserve"> should still report the full energy savings values and original fuel goal reductions</w:t>
      </w:r>
      <w:r>
        <w:rPr>
          <w:rFonts w:eastAsia="Arial" w:cs="Arial"/>
        </w:rPr>
        <w:t>, described below,</w:t>
      </w:r>
      <w:r w:rsidRPr="00D10656">
        <w:rPr>
          <w:rFonts w:eastAsia="Arial" w:cs="Arial"/>
        </w:rPr>
        <w:t xml:space="preserve"> in their measure specific workpapers and in their Annual Reports and Annual Budget Advice Letters.</w:t>
      </w:r>
    </w:p>
    <w:p w14:paraId="44813464" w14:textId="77777777" w:rsidR="69CFCB57" w:rsidRDefault="69CFCB57"/>
    <w:p w14:paraId="2BBFECF6" w14:textId="26793167" w:rsidR="0037361C" w:rsidRPr="00E9435E" w:rsidRDefault="0091403B" w:rsidP="0091403B">
      <w:pPr>
        <w:pStyle w:val="Heading3"/>
      </w:pPr>
      <w:bookmarkStart w:id="72" w:name="_Toc23249999"/>
      <w:r>
        <w:t xml:space="preserve">4.1 </w:t>
      </w:r>
      <w:r w:rsidR="69CFCB57" w:rsidRPr="00D10656">
        <w:t>Energy Savings</w:t>
      </w:r>
      <w:bookmarkEnd w:id="72"/>
    </w:p>
    <w:p w14:paraId="1BF6596B" w14:textId="36509771" w:rsidR="006A53B2" w:rsidRPr="00D10656" w:rsidRDefault="006A53B2">
      <w:pPr>
        <w:rPr>
          <w:b/>
          <w:bCs/>
        </w:rPr>
      </w:pPr>
    </w:p>
    <w:p w14:paraId="1FB8475D" w14:textId="20D35BB4" w:rsidR="006A53B2" w:rsidRPr="00D10656" w:rsidRDefault="002A306B">
      <w:pPr>
        <w:rPr>
          <w:rFonts w:eastAsia="Arial" w:cs="Arial"/>
        </w:rPr>
      </w:pPr>
      <w:r>
        <w:rPr>
          <w:rFonts w:eastAsia="Arial" w:cs="Arial"/>
        </w:rPr>
        <w:t xml:space="preserve">CPUC EE </w:t>
      </w:r>
      <w:r w:rsidR="69CFCB57" w:rsidRPr="00D10656">
        <w:rPr>
          <w:rFonts w:eastAsia="Arial" w:cs="Arial"/>
        </w:rPr>
        <w:t>Program Administrators (PAs) report energy savings to the CPUC through</w:t>
      </w:r>
      <w:r>
        <w:rPr>
          <w:rFonts w:eastAsia="Arial" w:cs="Arial"/>
        </w:rPr>
        <w:t xml:space="preserve"> a software platform called</w:t>
      </w:r>
      <w:r w:rsidR="69CFCB57" w:rsidRPr="00D10656">
        <w:rPr>
          <w:rFonts w:eastAsia="Arial" w:cs="Arial"/>
        </w:rPr>
        <w:t xml:space="preserve"> CEDARS. The reported energy savings are used to assess the PA energy efficiency portfolios. Step </w:t>
      </w:r>
      <w:r w:rsidR="00EA3AEA">
        <w:rPr>
          <w:rFonts w:eastAsia="Arial" w:cs="Arial"/>
        </w:rPr>
        <w:t>4</w:t>
      </w:r>
      <w:r w:rsidR="69CFCB57" w:rsidRPr="00D10656">
        <w:rPr>
          <w:rFonts w:eastAsia="Arial" w:cs="Arial"/>
        </w:rPr>
        <w:t>, reporting energy savings, applies only to program administrators.</w:t>
      </w:r>
    </w:p>
    <w:p w14:paraId="4D0D80C5" w14:textId="6DBF3E18" w:rsidR="006A53B2" w:rsidRPr="00D10656" w:rsidRDefault="006A53B2">
      <w:pPr>
        <w:rPr>
          <w:rFonts w:eastAsia="Arial" w:cs="Arial"/>
        </w:rPr>
      </w:pPr>
    </w:p>
    <w:p w14:paraId="4C275E49" w14:textId="2EE83FE5" w:rsidR="006A53B2" w:rsidRPr="00D10656" w:rsidRDefault="69CFCB57">
      <w:pPr>
        <w:rPr>
          <w:rFonts w:eastAsia="Arial" w:cs="Arial"/>
        </w:rPr>
      </w:pPr>
      <w:r w:rsidRPr="00D10656">
        <w:rPr>
          <w:rFonts w:eastAsia="Arial" w:cs="Arial"/>
        </w:rPr>
        <w:t xml:space="preserve">The savings from energy efficiency measures are reported by kW, kWh, or Therm. For non-fuel substitution measures, PAs report the savings (or increases) in kW, kWh or </w:t>
      </w:r>
      <w:proofErr w:type="spellStart"/>
      <w:r w:rsidRPr="00D10656">
        <w:rPr>
          <w:rFonts w:eastAsia="Arial" w:cs="Arial"/>
        </w:rPr>
        <w:t>Therm</w:t>
      </w:r>
      <w:proofErr w:type="spellEnd"/>
      <w:r w:rsidRPr="00D10656">
        <w:rPr>
          <w:rFonts w:eastAsia="Arial" w:cs="Arial"/>
        </w:rPr>
        <w:t xml:space="preserve"> for each measure</w:t>
      </w:r>
      <w:r w:rsidR="62FEFAFC" w:rsidRPr="00D10656">
        <w:rPr>
          <w:rFonts w:eastAsia="Arial" w:cs="Arial"/>
        </w:rPr>
        <w:t xml:space="preserve"> through CEDARS</w:t>
      </w:r>
      <w:r w:rsidRPr="00D10656">
        <w:rPr>
          <w:rFonts w:eastAsia="Arial" w:cs="Arial"/>
        </w:rPr>
        <w:t>. Due to the unique nature of fuel substitution measures, D.19-08-</w:t>
      </w:r>
      <w:r w:rsidRPr="00D10656">
        <w:rPr>
          <w:rFonts w:eastAsia="Arial" w:cs="Arial"/>
        </w:rPr>
        <w:lastRenderedPageBreak/>
        <w:t xml:space="preserve">009 states that the site energy savings calculated in Step </w:t>
      </w:r>
      <w:r w:rsidR="00EA3AEA">
        <w:rPr>
          <w:rFonts w:eastAsia="Arial" w:cs="Arial"/>
        </w:rPr>
        <w:t>2.1</w:t>
      </w:r>
      <w:r w:rsidRPr="00D10656">
        <w:rPr>
          <w:rFonts w:eastAsia="Arial" w:cs="Arial"/>
        </w:rPr>
        <w:t xml:space="preserve"> should be converted into new fuel units before being reported.</w:t>
      </w:r>
      <w:r w:rsidR="002E31AE">
        <w:rPr>
          <w:rStyle w:val="FootnoteReference"/>
          <w:rFonts w:eastAsia="Arial" w:cs="Arial"/>
        </w:rPr>
        <w:footnoteReference w:id="18"/>
      </w:r>
      <w:r w:rsidRPr="00D10656">
        <w:rPr>
          <w:rFonts w:eastAsia="Arial" w:cs="Arial"/>
        </w:rPr>
        <w:t xml:space="preserve"> </w:t>
      </w:r>
      <w:r w:rsidR="331CAF8E" w:rsidRPr="00D10656">
        <w:rPr>
          <w:rFonts w:eastAsia="Arial" w:cs="Arial"/>
        </w:rPr>
        <w:t xml:space="preserve">For example, if a fuel substitution </w:t>
      </w:r>
      <w:r w:rsidR="002E31AE">
        <w:rPr>
          <w:rFonts w:eastAsia="Arial" w:cs="Arial"/>
        </w:rPr>
        <w:t>replaces a gas appliance with a new electric appliance</w:t>
      </w:r>
      <w:r w:rsidR="331CAF8E" w:rsidRPr="00D10656">
        <w:rPr>
          <w:rFonts w:eastAsia="Arial" w:cs="Arial"/>
        </w:rPr>
        <w:t xml:space="preserve">, PAs would convert the net energy savings referenced in step </w:t>
      </w:r>
      <w:r w:rsidR="00EA3AEA">
        <w:rPr>
          <w:rFonts w:eastAsia="Arial" w:cs="Arial"/>
        </w:rPr>
        <w:t>2.1</w:t>
      </w:r>
      <w:r w:rsidR="331CAF8E" w:rsidRPr="00D10656">
        <w:rPr>
          <w:rFonts w:eastAsia="Arial" w:cs="Arial"/>
        </w:rPr>
        <w:t xml:space="preserve"> into kWh savings for the purposes of energy savings repo</w:t>
      </w:r>
      <w:r w:rsidR="1ED4A741" w:rsidRPr="00D10656">
        <w:rPr>
          <w:rFonts w:eastAsia="Arial" w:cs="Arial"/>
        </w:rPr>
        <w:t xml:space="preserve">rting. This conversion applies to energy savings reporting </w:t>
      </w:r>
      <w:r w:rsidR="0C567D73" w:rsidRPr="00D10656">
        <w:rPr>
          <w:rFonts w:eastAsia="Arial" w:cs="Arial"/>
        </w:rPr>
        <w:t>only and</w:t>
      </w:r>
      <w:r w:rsidR="1ED4A741" w:rsidRPr="00D10656">
        <w:rPr>
          <w:rFonts w:eastAsia="Arial" w:cs="Arial"/>
        </w:rPr>
        <w:t xml:space="preserve"> does not impact the cost effectiveness calculations.</w:t>
      </w:r>
    </w:p>
    <w:p w14:paraId="48467F0D" w14:textId="2ED963C3" w:rsidR="006A53B2" w:rsidRPr="00D10656" w:rsidRDefault="006A53B2">
      <w:pPr>
        <w:rPr>
          <w:rFonts w:eastAsia="Arial" w:cs="Arial"/>
        </w:rPr>
      </w:pPr>
    </w:p>
    <w:p w14:paraId="226348D8" w14:textId="2C5674A7" w:rsidR="3A30A4E0" w:rsidRPr="00D10656" w:rsidRDefault="0458F3AE">
      <w:pPr>
        <w:rPr>
          <w:rFonts w:eastAsia="Arial" w:cs="Arial"/>
        </w:rPr>
      </w:pPr>
      <w:r w:rsidRPr="00D10656">
        <w:rPr>
          <w:rFonts w:eastAsia="Arial" w:cs="Arial"/>
        </w:rPr>
        <w:t>The</w:t>
      </w:r>
      <w:r w:rsidR="002A306B">
        <w:rPr>
          <w:rFonts w:eastAsia="Arial" w:cs="Arial"/>
        </w:rPr>
        <w:t xml:space="preserve"> CPUC’s </w:t>
      </w:r>
      <w:r w:rsidR="002E31AE">
        <w:rPr>
          <w:rFonts w:eastAsia="Arial" w:cs="Arial"/>
        </w:rPr>
        <w:t>Cost Effectiveness Tool</w:t>
      </w:r>
      <w:r w:rsidRPr="00D10656">
        <w:rPr>
          <w:rFonts w:eastAsia="Arial" w:cs="Arial"/>
        </w:rPr>
        <w:t xml:space="preserve"> </w:t>
      </w:r>
      <w:r w:rsidR="002E31AE">
        <w:rPr>
          <w:rFonts w:eastAsia="Arial" w:cs="Arial"/>
        </w:rPr>
        <w:t>(</w:t>
      </w:r>
      <w:r w:rsidRPr="00D10656">
        <w:rPr>
          <w:rFonts w:eastAsia="Arial" w:cs="Arial"/>
        </w:rPr>
        <w:t>CET</w:t>
      </w:r>
      <w:r w:rsidR="002E31AE">
        <w:rPr>
          <w:rFonts w:eastAsia="Arial" w:cs="Arial"/>
        </w:rPr>
        <w:t>)</w:t>
      </w:r>
      <w:r w:rsidRPr="00D10656">
        <w:rPr>
          <w:rFonts w:eastAsia="Arial" w:cs="Arial"/>
        </w:rPr>
        <w:t xml:space="preserve"> </w:t>
      </w:r>
      <w:r w:rsidR="00D749D6" w:rsidRPr="00D10656">
        <w:rPr>
          <w:rFonts w:eastAsia="Arial" w:cs="Arial"/>
        </w:rPr>
        <w:t>will be updated in 2020 to</w:t>
      </w:r>
      <w:r w:rsidRPr="00D10656">
        <w:rPr>
          <w:rFonts w:eastAsia="Arial" w:cs="Arial"/>
        </w:rPr>
        <w:t xml:space="preserve"> automatically apply this conversion to fuel substitution measures and report the appropriate fuel substitution energy savings in the gross and net savings outputs.</w:t>
      </w:r>
      <w:r w:rsidR="318C540F" w:rsidRPr="00D10656">
        <w:rPr>
          <w:rFonts w:eastAsia="Arial" w:cs="Arial"/>
        </w:rPr>
        <w:t xml:space="preserve"> These outputs r</w:t>
      </w:r>
      <w:r w:rsidR="32A9C9D9" w:rsidRPr="00D10656">
        <w:rPr>
          <w:rFonts w:eastAsia="Arial" w:cs="Arial"/>
        </w:rPr>
        <w:t>elate on</w:t>
      </w:r>
      <w:r w:rsidR="5BE75257" w:rsidRPr="00D10656">
        <w:rPr>
          <w:rFonts w:eastAsia="Arial" w:cs="Arial"/>
        </w:rPr>
        <w:t xml:space="preserve">ly to </w:t>
      </w:r>
      <w:r w:rsidR="25E2483C" w:rsidRPr="00D10656">
        <w:rPr>
          <w:rFonts w:eastAsia="Arial" w:cs="Arial"/>
        </w:rPr>
        <w:t xml:space="preserve">PA </w:t>
      </w:r>
      <w:r w:rsidR="6877C725" w:rsidRPr="00D10656">
        <w:rPr>
          <w:rFonts w:eastAsia="Arial" w:cs="Arial"/>
        </w:rPr>
        <w:t xml:space="preserve">energy </w:t>
      </w:r>
      <w:r w:rsidR="0021603E" w:rsidRPr="00D10656">
        <w:rPr>
          <w:rFonts w:eastAsia="Arial" w:cs="Arial"/>
        </w:rPr>
        <w:t>savings reporting and</w:t>
      </w:r>
      <w:r w:rsidR="232A7EDE" w:rsidRPr="00D10656">
        <w:rPr>
          <w:rFonts w:eastAsia="Arial" w:cs="Arial"/>
        </w:rPr>
        <w:t xml:space="preserve"> are not used to </w:t>
      </w:r>
      <w:r w:rsidR="1FE4BBEE" w:rsidRPr="00D10656">
        <w:rPr>
          <w:rFonts w:eastAsia="Arial" w:cs="Arial"/>
        </w:rPr>
        <w:t>analyze cost eff</w:t>
      </w:r>
      <w:r w:rsidR="5AC4F261" w:rsidRPr="00D10656">
        <w:rPr>
          <w:rFonts w:eastAsia="Arial" w:cs="Arial"/>
        </w:rPr>
        <w:t xml:space="preserve">ectiveness. </w:t>
      </w:r>
      <w:r w:rsidR="5AC5A745" w:rsidRPr="00D10656">
        <w:rPr>
          <w:rFonts w:eastAsia="Arial" w:cs="Arial"/>
        </w:rPr>
        <w:t xml:space="preserve">To </w:t>
      </w:r>
      <w:r w:rsidR="2F982DE0" w:rsidRPr="00D10656">
        <w:rPr>
          <w:rFonts w:eastAsia="Arial" w:cs="Arial"/>
        </w:rPr>
        <w:t xml:space="preserve">calculate </w:t>
      </w:r>
      <w:r w:rsidR="0819B805" w:rsidRPr="00D10656">
        <w:rPr>
          <w:rFonts w:eastAsia="Arial" w:cs="Arial"/>
        </w:rPr>
        <w:t>the fuel substitution energy savi</w:t>
      </w:r>
      <w:r w:rsidR="00E6825F" w:rsidRPr="00D10656">
        <w:rPr>
          <w:rFonts w:eastAsia="Arial" w:cs="Arial"/>
        </w:rPr>
        <w:t xml:space="preserve">ngs, the CET </w:t>
      </w:r>
      <w:r w:rsidR="64392DFD" w:rsidRPr="00D10656">
        <w:rPr>
          <w:rFonts w:eastAsia="Arial" w:cs="Arial"/>
        </w:rPr>
        <w:t>(pending</w:t>
      </w:r>
      <w:r w:rsidR="64BED6D3" w:rsidRPr="00D10656">
        <w:rPr>
          <w:rFonts w:eastAsia="Arial" w:cs="Arial"/>
        </w:rPr>
        <w:t xml:space="preserve"> a 2020 updat</w:t>
      </w:r>
      <w:r w:rsidR="64392DFD" w:rsidRPr="00D10656">
        <w:rPr>
          <w:rFonts w:eastAsia="Arial" w:cs="Arial"/>
        </w:rPr>
        <w:t>e</w:t>
      </w:r>
      <w:r w:rsidR="64BED6D3" w:rsidRPr="00D10656">
        <w:rPr>
          <w:rFonts w:eastAsia="Arial" w:cs="Arial"/>
        </w:rPr>
        <w:t xml:space="preserve">) </w:t>
      </w:r>
      <w:r w:rsidR="510004C2" w:rsidRPr="00D10656">
        <w:rPr>
          <w:rFonts w:eastAsia="Arial" w:cs="Arial"/>
        </w:rPr>
        <w:t xml:space="preserve">converts </w:t>
      </w:r>
      <w:r w:rsidR="249878EF" w:rsidRPr="00D10656">
        <w:rPr>
          <w:rFonts w:eastAsia="Arial" w:cs="Arial"/>
        </w:rPr>
        <w:t xml:space="preserve">the </w:t>
      </w:r>
      <w:r w:rsidR="1F35BD19" w:rsidRPr="00D10656">
        <w:rPr>
          <w:rFonts w:eastAsia="Arial" w:cs="Arial"/>
        </w:rPr>
        <w:t>energy savings calcul</w:t>
      </w:r>
      <w:r w:rsidR="123FD81C" w:rsidRPr="00D10656">
        <w:rPr>
          <w:rFonts w:eastAsia="Arial" w:cs="Arial"/>
        </w:rPr>
        <w:t xml:space="preserve">ated in step </w:t>
      </w:r>
      <w:r w:rsidR="00EA3AEA">
        <w:rPr>
          <w:rFonts w:eastAsia="Arial" w:cs="Arial"/>
        </w:rPr>
        <w:t>2.1</w:t>
      </w:r>
      <w:r w:rsidR="123FD81C" w:rsidRPr="00D10656">
        <w:rPr>
          <w:rFonts w:eastAsia="Arial" w:cs="Arial"/>
        </w:rPr>
        <w:t xml:space="preserve"> </w:t>
      </w:r>
      <w:r w:rsidR="647DBFA6" w:rsidRPr="00D10656">
        <w:rPr>
          <w:rFonts w:eastAsia="Arial" w:cs="Arial"/>
        </w:rPr>
        <w:t xml:space="preserve">into new fuel units </w:t>
      </w:r>
      <w:r w:rsidRPr="00D10656">
        <w:rPr>
          <w:rFonts w:eastAsia="Arial" w:cs="Arial"/>
        </w:rPr>
        <w:t xml:space="preserve">using the </w:t>
      </w:r>
      <w:r w:rsidRPr="00D10656">
        <w:rPr>
          <w:rFonts w:eastAsia="Arial" w:cs="Arial"/>
          <w:u w:val="single"/>
        </w:rPr>
        <w:t>site</w:t>
      </w:r>
      <w:r w:rsidRPr="00D10656">
        <w:rPr>
          <w:rFonts w:eastAsia="Arial" w:cs="Arial"/>
        </w:rPr>
        <w:t xml:space="preserve"> conversion factors (1 </w:t>
      </w:r>
      <w:proofErr w:type="spellStart"/>
      <w:r w:rsidRPr="00D10656">
        <w:rPr>
          <w:rFonts w:eastAsia="Arial" w:cs="Arial"/>
        </w:rPr>
        <w:t>therm</w:t>
      </w:r>
      <w:proofErr w:type="spellEnd"/>
      <w:r w:rsidRPr="00D10656">
        <w:rPr>
          <w:rFonts w:eastAsia="Arial" w:cs="Arial"/>
        </w:rPr>
        <w:t xml:space="preserve"> = 29.3 kWh and 1 kWh = 0.03413 </w:t>
      </w:r>
      <w:proofErr w:type="spellStart"/>
      <w:r w:rsidRPr="00D10656">
        <w:rPr>
          <w:rFonts w:eastAsia="Arial" w:cs="Arial"/>
        </w:rPr>
        <w:t>therm</w:t>
      </w:r>
      <w:proofErr w:type="spellEnd"/>
      <w:r w:rsidRPr="00D10656">
        <w:rPr>
          <w:rFonts w:eastAsia="Arial" w:cs="Arial"/>
        </w:rPr>
        <w:t>).</w:t>
      </w:r>
      <w:r w:rsidR="3A30A4E0" w:rsidRPr="00D10656">
        <w:rPr>
          <w:rFonts w:eastAsia="Arial" w:cs="Arial"/>
        </w:rPr>
        <w:t xml:space="preserve"> These savings are defined as full energy savings by D.19-08-009.</w:t>
      </w:r>
      <w:r w:rsidR="006A53B2" w:rsidRPr="00D10656">
        <w:rPr>
          <w:rStyle w:val="FootnoteReference"/>
          <w:rFonts w:eastAsia="Arial" w:cs="Arial"/>
        </w:rPr>
        <w:footnoteReference w:id="19"/>
      </w:r>
    </w:p>
    <w:p w14:paraId="584BDF93" w14:textId="14786DAF" w:rsidR="006A53B2" w:rsidRPr="00D10656" w:rsidRDefault="006A53B2">
      <w:pPr>
        <w:rPr>
          <w:rFonts w:eastAsia="Arial" w:cs="Arial"/>
        </w:rPr>
      </w:pPr>
    </w:p>
    <w:p w14:paraId="57576825" w14:textId="1C59E92D" w:rsidR="674EF665" w:rsidRPr="00D10656" w:rsidRDefault="0458F3AE">
      <w:pPr>
        <w:rPr>
          <w:rFonts w:eastAsia="Arial" w:cs="Arial"/>
        </w:rPr>
      </w:pPr>
      <w:r w:rsidRPr="00D10656">
        <w:rPr>
          <w:rFonts w:eastAsia="Arial" w:cs="Arial"/>
        </w:rPr>
        <w:t>Th</w:t>
      </w:r>
      <w:r w:rsidR="1A816CD0" w:rsidRPr="00D10656">
        <w:rPr>
          <w:rFonts w:eastAsia="Arial" w:cs="Arial"/>
        </w:rPr>
        <w:t>e fuel substitution c</w:t>
      </w:r>
      <w:r w:rsidR="79977715" w:rsidRPr="00D10656">
        <w:rPr>
          <w:rFonts w:eastAsia="Arial" w:cs="Arial"/>
        </w:rPr>
        <w:t xml:space="preserve">alculator </w:t>
      </w:r>
      <w:r w:rsidR="227CDB98" w:rsidRPr="00D10656">
        <w:rPr>
          <w:rFonts w:eastAsia="Arial" w:cs="Arial"/>
        </w:rPr>
        <w:t>also out</w:t>
      </w:r>
      <w:r w:rsidR="1B7C80A6" w:rsidRPr="00D10656">
        <w:rPr>
          <w:rFonts w:eastAsia="Arial" w:cs="Arial"/>
        </w:rPr>
        <w:t>p</w:t>
      </w:r>
      <w:r w:rsidR="227CDB98" w:rsidRPr="00D10656">
        <w:rPr>
          <w:rFonts w:eastAsia="Arial" w:cs="Arial"/>
        </w:rPr>
        <w:t xml:space="preserve">uts </w:t>
      </w:r>
      <w:r w:rsidR="03390E09" w:rsidRPr="00D10656">
        <w:rPr>
          <w:rFonts w:eastAsia="Arial" w:cs="Arial"/>
        </w:rPr>
        <w:t>a meas</w:t>
      </w:r>
      <w:r w:rsidR="0FDE0C93" w:rsidRPr="00D10656">
        <w:rPr>
          <w:rFonts w:eastAsia="Arial" w:cs="Arial"/>
        </w:rPr>
        <w:t xml:space="preserve">ure’s fuel energy savings value in </w:t>
      </w:r>
      <w:r w:rsidR="58CFCA5E" w:rsidRPr="00D10656">
        <w:rPr>
          <w:rFonts w:eastAsia="Arial" w:cs="Arial"/>
        </w:rPr>
        <w:t>section 3</w:t>
      </w:r>
      <w:r w:rsidR="50E4DB0D" w:rsidRPr="00D10656">
        <w:rPr>
          <w:rFonts w:eastAsia="Arial" w:cs="Arial"/>
        </w:rPr>
        <w:t xml:space="preserve"> of the “fuel sub calcs” tab. In section 3, the calculator displays the full energy savings value in MMBTU equivalent, then states whether the </w:t>
      </w:r>
      <w:r w:rsidR="7691982A" w:rsidRPr="00D10656">
        <w:rPr>
          <w:rFonts w:eastAsia="Arial" w:cs="Arial"/>
        </w:rPr>
        <w:t>"new fuel units” are i</w:t>
      </w:r>
      <w:r w:rsidR="50E4DB0D" w:rsidRPr="00D10656">
        <w:rPr>
          <w:rFonts w:eastAsia="Arial" w:cs="Arial"/>
        </w:rPr>
        <w:t xml:space="preserve">n kWh or </w:t>
      </w:r>
      <w:r w:rsidR="002A12B2">
        <w:rPr>
          <w:rFonts w:eastAsia="Arial" w:cs="Arial"/>
        </w:rPr>
        <w:t>Therm</w:t>
      </w:r>
      <w:r w:rsidR="50E4DB0D" w:rsidRPr="00D10656">
        <w:rPr>
          <w:rFonts w:eastAsia="Arial" w:cs="Arial"/>
        </w:rPr>
        <w:t xml:space="preserve">. Section 3 </w:t>
      </w:r>
      <w:r w:rsidR="32ED4788" w:rsidRPr="00D10656">
        <w:rPr>
          <w:rFonts w:eastAsia="Arial" w:cs="Arial"/>
        </w:rPr>
        <w:t xml:space="preserve">then converts the </w:t>
      </w:r>
      <w:r w:rsidR="160EF219" w:rsidRPr="00D10656">
        <w:rPr>
          <w:rFonts w:eastAsia="Arial" w:cs="Arial"/>
        </w:rPr>
        <w:t xml:space="preserve">full energy savings value into the appropriate unit (either kWh or </w:t>
      </w:r>
      <w:proofErr w:type="spellStart"/>
      <w:r w:rsidR="002A12B2">
        <w:rPr>
          <w:rFonts w:eastAsia="Arial" w:cs="Arial"/>
        </w:rPr>
        <w:t>Therm</w:t>
      </w:r>
      <w:proofErr w:type="spellEnd"/>
      <w:r w:rsidR="160EF219" w:rsidRPr="00D10656">
        <w:rPr>
          <w:rFonts w:eastAsia="Arial" w:cs="Arial"/>
        </w:rPr>
        <w:t>) and displays the value to be reported.</w:t>
      </w:r>
    </w:p>
    <w:p w14:paraId="23E5C6E6" w14:textId="067C8119" w:rsidR="006A53B2" w:rsidRPr="00D10656" w:rsidRDefault="006A53B2">
      <w:pPr>
        <w:rPr>
          <w:rFonts w:eastAsia="Arial" w:cs="Arial"/>
        </w:rPr>
      </w:pPr>
    </w:p>
    <w:p w14:paraId="6A653B80" w14:textId="1C076D61" w:rsidR="29973FF9" w:rsidRPr="00D10656" w:rsidRDefault="0091403B" w:rsidP="0091403B">
      <w:pPr>
        <w:pStyle w:val="Heading3"/>
      </w:pPr>
      <w:bookmarkStart w:id="73" w:name="_Toc23250000"/>
      <w:r>
        <w:t xml:space="preserve">4.2 </w:t>
      </w:r>
      <w:r w:rsidR="002A306B">
        <w:t xml:space="preserve">Energy Savings </w:t>
      </w:r>
      <w:r w:rsidR="69CFCB57" w:rsidRPr="00D10656">
        <w:t>Goal Reduction</w:t>
      </w:r>
      <w:bookmarkEnd w:id="73"/>
      <w:r w:rsidR="6FDB018F" w:rsidRPr="00D10656">
        <w:t xml:space="preserve"> </w:t>
      </w:r>
    </w:p>
    <w:p w14:paraId="1F65D140" w14:textId="1A0DBE67" w:rsidR="29973FF9" w:rsidRPr="00D10656" w:rsidRDefault="29973FF9">
      <w:pPr>
        <w:rPr>
          <w:rFonts w:eastAsia="Arial" w:cs="Arial"/>
        </w:rPr>
      </w:pPr>
    </w:p>
    <w:p w14:paraId="239F6CED" w14:textId="7E45E229" w:rsidR="29973FF9" w:rsidRPr="00D10656" w:rsidRDefault="6A17096F">
      <w:pPr>
        <w:rPr>
          <w:rFonts w:eastAsia="Arial" w:cs="Arial"/>
        </w:rPr>
      </w:pPr>
      <w:r w:rsidRPr="00D10656">
        <w:rPr>
          <w:rFonts w:eastAsia="Arial" w:cs="Arial"/>
        </w:rPr>
        <w:t xml:space="preserve">The original fuel utility can reduce its kWh or </w:t>
      </w:r>
      <w:proofErr w:type="spellStart"/>
      <w:r w:rsidRPr="00D10656">
        <w:rPr>
          <w:rFonts w:eastAsia="Arial" w:cs="Arial"/>
        </w:rPr>
        <w:t>Therm</w:t>
      </w:r>
      <w:proofErr w:type="spellEnd"/>
      <w:r w:rsidRPr="00D10656">
        <w:rPr>
          <w:rFonts w:eastAsia="Arial" w:cs="Arial"/>
        </w:rPr>
        <w:t xml:space="preserve"> savings goals by the difference between the fuel substitution measure</w:t>
      </w:r>
      <w:r w:rsidR="66D3BDAC" w:rsidRPr="00D10656">
        <w:rPr>
          <w:rFonts w:eastAsia="Arial" w:cs="Arial"/>
        </w:rPr>
        <w:t>’s</w:t>
      </w:r>
      <w:r w:rsidRPr="00D10656">
        <w:rPr>
          <w:rFonts w:eastAsia="Arial" w:cs="Arial"/>
        </w:rPr>
        <w:t xml:space="preserve"> energy use </w:t>
      </w:r>
      <w:r w:rsidR="5E4C4275" w:rsidRPr="00D10656">
        <w:rPr>
          <w:rFonts w:eastAsia="Arial" w:cs="Arial"/>
        </w:rPr>
        <w:t xml:space="preserve">and </w:t>
      </w:r>
      <w:r w:rsidRPr="00D10656">
        <w:rPr>
          <w:rFonts w:eastAsia="Arial" w:cs="Arial"/>
        </w:rPr>
        <w:t xml:space="preserve">the energy </w:t>
      </w:r>
      <w:r w:rsidR="365B8515" w:rsidRPr="00D10656">
        <w:rPr>
          <w:rFonts w:eastAsia="Arial" w:cs="Arial"/>
        </w:rPr>
        <w:t xml:space="preserve">usage </w:t>
      </w:r>
      <w:r w:rsidRPr="00D10656">
        <w:rPr>
          <w:rFonts w:eastAsia="Arial" w:cs="Arial"/>
        </w:rPr>
        <w:t xml:space="preserve">of the </w:t>
      </w:r>
      <w:r w:rsidR="702CBF5E" w:rsidRPr="00D10656">
        <w:rPr>
          <w:rFonts w:eastAsia="Arial" w:cs="Arial"/>
        </w:rPr>
        <w:t xml:space="preserve">baseline </w:t>
      </w:r>
      <w:r w:rsidRPr="00D10656">
        <w:rPr>
          <w:rFonts w:eastAsia="Arial" w:cs="Arial"/>
        </w:rPr>
        <w:t>measure</w:t>
      </w:r>
      <w:r w:rsidR="3730DF77" w:rsidRPr="00D10656">
        <w:rPr>
          <w:rFonts w:eastAsia="Arial" w:cs="Arial"/>
        </w:rPr>
        <w:t>.</w:t>
      </w:r>
      <w:r w:rsidR="29973FF9" w:rsidRPr="00D10656">
        <w:rPr>
          <w:rStyle w:val="FootnoteReference"/>
          <w:rFonts w:eastAsia="Arial" w:cs="Arial"/>
        </w:rPr>
        <w:footnoteReference w:id="20"/>
      </w:r>
      <w:r w:rsidR="1702C715" w:rsidRPr="00D10656">
        <w:rPr>
          <w:rFonts w:eastAsia="Arial" w:cs="Arial"/>
        </w:rPr>
        <w:t xml:space="preserve"> The</w:t>
      </w:r>
      <w:r w:rsidR="19FB547E" w:rsidRPr="00D10656">
        <w:rPr>
          <w:rFonts w:eastAsia="Arial" w:cs="Arial"/>
        </w:rPr>
        <w:t xml:space="preserve"> </w:t>
      </w:r>
      <w:r w:rsidR="7E0EAC99" w:rsidRPr="00D10656">
        <w:rPr>
          <w:rFonts w:eastAsia="Arial" w:cs="Arial"/>
        </w:rPr>
        <w:t xml:space="preserve">reduction should be applied to the original fuel savings goals. </w:t>
      </w:r>
      <w:r w:rsidR="19FB547E" w:rsidRPr="00D10656">
        <w:rPr>
          <w:rFonts w:eastAsia="Arial" w:cs="Arial"/>
        </w:rPr>
        <w:t xml:space="preserve">This reduction reflects the original fuel utility’s loss in energy savings potential. </w:t>
      </w:r>
    </w:p>
    <w:p w14:paraId="40491DC6" w14:textId="312A818F" w:rsidR="29973FF9" w:rsidRPr="00D10656" w:rsidRDefault="29973FF9">
      <w:pPr>
        <w:rPr>
          <w:rFonts w:eastAsia="Arial" w:cs="Arial"/>
        </w:rPr>
      </w:pPr>
    </w:p>
    <w:p w14:paraId="0DE002EE" w14:textId="49621C4B" w:rsidR="12EB3AF3" w:rsidRPr="00D10656" w:rsidRDefault="12EB3AF3">
      <w:pPr>
        <w:rPr>
          <w:rFonts w:eastAsia="Arial" w:cs="Arial"/>
        </w:rPr>
      </w:pPr>
      <w:r w:rsidRPr="00D10656">
        <w:rPr>
          <w:rFonts w:eastAsia="Arial" w:cs="Arial"/>
        </w:rPr>
        <w:t xml:space="preserve">To calculate the reduction in energy savings potential, PAs use the “Full Energy Savings” value referenced in the reporting </w:t>
      </w:r>
      <w:r w:rsidR="00DE0A77">
        <w:rPr>
          <w:rFonts w:eastAsia="Arial" w:cs="Arial"/>
        </w:rPr>
        <w:t>“E</w:t>
      </w:r>
      <w:r w:rsidRPr="00D10656">
        <w:rPr>
          <w:rFonts w:eastAsia="Arial" w:cs="Arial"/>
        </w:rPr>
        <w:t xml:space="preserve">nergy </w:t>
      </w:r>
      <w:r w:rsidR="00DE0A77">
        <w:rPr>
          <w:rFonts w:eastAsia="Arial" w:cs="Arial"/>
        </w:rPr>
        <w:t>S</w:t>
      </w:r>
      <w:r w:rsidRPr="00D10656">
        <w:rPr>
          <w:rFonts w:eastAsia="Arial" w:cs="Arial"/>
        </w:rPr>
        <w:t>avings</w:t>
      </w:r>
      <w:r w:rsidR="00DE0A77">
        <w:rPr>
          <w:rFonts w:eastAsia="Arial" w:cs="Arial"/>
        </w:rPr>
        <w:t>”</w:t>
      </w:r>
      <w:r w:rsidRPr="00D10656">
        <w:rPr>
          <w:rFonts w:eastAsia="Arial" w:cs="Arial"/>
        </w:rPr>
        <w:t xml:space="preserve"> section above. The Full Energy Savings value is </w:t>
      </w:r>
      <w:r w:rsidR="5B0AD5E3" w:rsidRPr="00D10656">
        <w:rPr>
          <w:rFonts w:eastAsia="Arial" w:cs="Arial"/>
        </w:rPr>
        <w:t xml:space="preserve">shown in the fuel substitution calculator, tab “fuel sub calcs”, </w:t>
      </w:r>
      <w:r w:rsidR="00852CFC">
        <w:rPr>
          <w:rFonts w:eastAsia="Arial" w:cs="Arial"/>
        </w:rPr>
        <w:t>S</w:t>
      </w:r>
      <w:r w:rsidR="5B0AD5E3" w:rsidRPr="00D10656">
        <w:rPr>
          <w:rFonts w:eastAsia="Arial" w:cs="Arial"/>
        </w:rPr>
        <w:t xml:space="preserve">ection 3. This energy value is then </w:t>
      </w:r>
      <w:r w:rsidR="4EE38D1C" w:rsidRPr="00D10656">
        <w:rPr>
          <w:rFonts w:eastAsia="Arial" w:cs="Arial"/>
        </w:rPr>
        <w:t>converted</w:t>
      </w:r>
      <w:r w:rsidR="5B0AD5E3" w:rsidRPr="00D10656">
        <w:rPr>
          <w:rFonts w:eastAsia="Arial" w:cs="Arial"/>
        </w:rPr>
        <w:t xml:space="preserve"> to the original fuel </w:t>
      </w:r>
      <w:r w:rsidR="23664D0E" w:rsidRPr="00D10656">
        <w:rPr>
          <w:rFonts w:eastAsia="Arial" w:cs="Arial"/>
        </w:rPr>
        <w:t xml:space="preserve">using the </w:t>
      </w:r>
      <w:r w:rsidR="23664D0E" w:rsidRPr="00D10656">
        <w:rPr>
          <w:rFonts w:eastAsia="Arial" w:cs="Arial"/>
          <w:u w:val="single"/>
        </w:rPr>
        <w:t>site</w:t>
      </w:r>
      <w:r w:rsidR="23664D0E" w:rsidRPr="00D10656">
        <w:rPr>
          <w:rFonts w:eastAsia="Arial" w:cs="Arial"/>
        </w:rPr>
        <w:t xml:space="preserve"> conversion factors (1 </w:t>
      </w:r>
      <w:proofErr w:type="spellStart"/>
      <w:r w:rsidR="23664D0E" w:rsidRPr="00D10656">
        <w:rPr>
          <w:rFonts w:eastAsia="Arial" w:cs="Arial"/>
        </w:rPr>
        <w:t>therm</w:t>
      </w:r>
      <w:proofErr w:type="spellEnd"/>
      <w:r w:rsidR="23664D0E" w:rsidRPr="00D10656">
        <w:rPr>
          <w:rFonts w:eastAsia="Arial" w:cs="Arial"/>
        </w:rPr>
        <w:t xml:space="preserve"> = 29.3 kWh and 1 kWh = 0.03413 </w:t>
      </w:r>
      <w:proofErr w:type="spellStart"/>
      <w:r w:rsidR="23664D0E" w:rsidRPr="00D10656">
        <w:rPr>
          <w:rFonts w:eastAsia="Arial" w:cs="Arial"/>
        </w:rPr>
        <w:t>therm</w:t>
      </w:r>
      <w:proofErr w:type="spellEnd"/>
      <w:r w:rsidR="23664D0E" w:rsidRPr="00D10656">
        <w:rPr>
          <w:rFonts w:eastAsia="Arial" w:cs="Arial"/>
        </w:rPr>
        <w:t>).</w:t>
      </w:r>
      <w:r w:rsidR="5B0AD5E3" w:rsidRPr="00D10656">
        <w:rPr>
          <w:rFonts w:eastAsia="Arial" w:cs="Arial"/>
        </w:rPr>
        <w:t xml:space="preserve"> </w:t>
      </w:r>
    </w:p>
    <w:p w14:paraId="321DDA9F" w14:textId="479D0471" w:rsidR="0791ACD9" w:rsidRPr="00D10656" w:rsidRDefault="0791ACD9">
      <w:pPr>
        <w:rPr>
          <w:rFonts w:eastAsia="Arial" w:cs="Arial"/>
        </w:rPr>
      </w:pPr>
    </w:p>
    <w:p w14:paraId="391168DE" w14:textId="3472ABB9" w:rsidR="7324E42E" w:rsidRPr="00D10656" w:rsidRDefault="7324E42E">
      <w:pPr>
        <w:rPr>
          <w:rFonts w:eastAsia="Arial" w:cs="Arial"/>
        </w:rPr>
      </w:pPr>
      <w:r w:rsidRPr="00D10656">
        <w:rPr>
          <w:rFonts w:eastAsia="Arial" w:cs="Arial"/>
        </w:rPr>
        <w:t>In instances where a single fuel utility sponsors the fuel substitution measure, the sponsoring fuel utility will receive the energy savings credit. The original fuel utility will reduce its goals by the full energy savings value converted to the original fu</w:t>
      </w:r>
      <w:r w:rsidR="31D36EAF" w:rsidRPr="00D10656">
        <w:rPr>
          <w:rFonts w:eastAsia="Arial" w:cs="Arial"/>
        </w:rPr>
        <w:t xml:space="preserve">el units. In instances where a dual fuel utility sponsors a fuel substitution measure, the dual fuel utility will receive savings credit in </w:t>
      </w:r>
      <w:r w:rsidR="1B698178" w:rsidRPr="00D10656">
        <w:rPr>
          <w:rFonts w:eastAsia="Arial" w:cs="Arial"/>
        </w:rPr>
        <w:t>new fuel units and a reduction in original fuel goals.</w:t>
      </w:r>
    </w:p>
    <w:p w14:paraId="3091578D" w14:textId="1767C76D" w:rsidR="653368E8" w:rsidRPr="00D10656" w:rsidRDefault="653368E8">
      <w:pPr>
        <w:rPr>
          <w:rFonts w:eastAsia="Arial" w:cs="Arial"/>
        </w:rPr>
      </w:pPr>
    </w:p>
    <w:p w14:paraId="31B800C8" w14:textId="12AD1AA5" w:rsidR="1B698178" w:rsidRPr="00D10656" w:rsidRDefault="1B698178">
      <w:pPr>
        <w:rPr>
          <w:rFonts w:eastAsia="Arial" w:cs="Arial"/>
        </w:rPr>
      </w:pPr>
      <w:r w:rsidRPr="00D10656">
        <w:rPr>
          <w:rFonts w:eastAsia="Arial" w:cs="Arial"/>
        </w:rPr>
        <w:t>D.19-08-009 requires program</w:t>
      </w:r>
      <w:r w:rsidRPr="00D10656">
        <w:rPr>
          <w:vertAlign w:val="superscript"/>
        </w:rPr>
        <w:footnoteReference w:id="21"/>
      </w:r>
      <w:r w:rsidR="560EB393" w:rsidRPr="00D10656">
        <w:rPr>
          <w:rFonts w:eastAsia="Arial" w:cs="Arial"/>
        </w:rPr>
        <w:t xml:space="preserve"> energy savings impac</w:t>
      </w:r>
      <w:r w:rsidR="21ED0D64" w:rsidRPr="00D10656">
        <w:rPr>
          <w:rFonts w:eastAsia="Arial" w:cs="Arial"/>
        </w:rPr>
        <w:t xml:space="preserve">ts </w:t>
      </w:r>
      <w:r w:rsidR="278D9CEC" w:rsidRPr="00D10656">
        <w:rPr>
          <w:rFonts w:eastAsia="Arial" w:cs="Arial"/>
        </w:rPr>
        <w:t>associated</w:t>
      </w:r>
      <w:r w:rsidR="21ED0D64" w:rsidRPr="00D10656">
        <w:rPr>
          <w:rFonts w:eastAsia="Arial" w:cs="Arial"/>
        </w:rPr>
        <w:t xml:space="preserve"> with fuel substitution measures in their Annual Reports and Annual Budget Advice Letter filings.</w:t>
      </w:r>
      <w:r w:rsidR="3BD55DEB" w:rsidRPr="00D10656">
        <w:rPr>
          <w:rFonts w:eastAsia="Arial" w:cs="Arial"/>
        </w:rPr>
        <w:t xml:space="preserve"> Dual fuel utilities can report new fuel and original fuel consumption at the same time, but </w:t>
      </w:r>
      <w:r w:rsidR="278D9CEC" w:rsidRPr="00D10656">
        <w:rPr>
          <w:rFonts w:eastAsia="Arial" w:cs="Arial"/>
        </w:rPr>
        <w:t>single fuel utilities may need to wait until the new fuel utility reports the savings impacts of its fuel substitution activities</w:t>
      </w:r>
      <w:r w:rsidR="762667E3" w:rsidRPr="00D10656">
        <w:rPr>
          <w:rFonts w:eastAsia="Arial" w:cs="Arial"/>
        </w:rPr>
        <w:t>. In this case,</w:t>
      </w:r>
      <w:r w:rsidR="3BD55DEB" w:rsidRPr="00D10656">
        <w:rPr>
          <w:rFonts w:eastAsia="Arial" w:cs="Arial"/>
        </w:rPr>
        <w:t xml:space="preserve"> </w:t>
      </w:r>
      <w:r w:rsidR="762667E3" w:rsidRPr="00D10656">
        <w:rPr>
          <w:rFonts w:eastAsia="Arial" w:cs="Arial"/>
        </w:rPr>
        <w:t xml:space="preserve">single fuel </w:t>
      </w:r>
      <w:r w:rsidR="00382D72">
        <w:t>uti</w:t>
      </w:r>
      <w:r w:rsidR="28EE5C22" w:rsidRPr="00D10656">
        <w:rPr>
          <w:rFonts w:eastAsia="Arial" w:cs="Arial"/>
        </w:rPr>
        <w:t>l</w:t>
      </w:r>
      <w:r w:rsidR="277F69CF" w:rsidRPr="00D10656">
        <w:rPr>
          <w:rFonts w:eastAsia="Arial" w:cs="Arial"/>
        </w:rPr>
        <w:t>ities</w:t>
      </w:r>
      <w:r w:rsidR="08D0B289" w:rsidRPr="00D10656">
        <w:rPr>
          <w:rFonts w:eastAsia="Arial" w:cs="Arial"/>
        </w:rPr>
        <w:t xml:space="preserve"> should reflect original fuel impacts in the following year unless the </w:t>
      </w:r>
      <w:r w:rsidR="08D0B289" w:rsidRPr="00D10656">
        <w:rPr>
          <w:rFonts w:eastAsia="Arial" w:cs="Arial"/>
        </w:rPr>
        <w:lastRenderedPageBreak/>
        <w:t>utilities agree to share dat</w:t>
      </w:r>
      <w:r w:rsidR="00852CFC">
        <w:rPr>
          <w:rFonts w:eastAsia="Arial" w:cs="Arial"/>
        </w:rPr>
        <w:t>a</w:t>
      </w:r>
      <w:r w:rsidR="08D0B289" w:rsidRPr="00D10656">
        <w:rPr>
          <w:rFonts w:eastAsia="Arial" w:cs="Arial"/>
        </w:rPr>
        <w:t xml:space="preserve"> in a timelier manner.</w:t>
      </w:r>
      <w:r w:rsidRPr="00D10656">
        <w:rPr>
          <w:rStyle w:val="FootnoteReference"/>
          <w:rFonts w:eastAsia="Arial" w:cs="Arial"/>
        </w:rPr>
        <w:footnoteReference w:id="22"/>
      </w:r>
      <w:r w:rsidR="08D0B289" w:rsidRPr="00D10656">
        <w:rPr>
          <w:rFonts w:eastAsia="Arial" w:cs="Arial"/>
        </w:rPr>
        <w:t xml:space="preserve"> Please see D.19-08-009, section 17.2 for a discussion of the reporting responsibilities related to fuel substitution</w:t>
      </w:r>
    </w:p>
    <w:p w14:paraId="567958BA" w14:textId="29982A88" w:rsidR="1B698178" w:rsidRPr="00D10656" w:rsidRDefault="1B698178">
      <w:pPr>
        <w:rPr>
          <w:rFonts w:eastAsia="Arial" w:cs="Arial"/>
          <w:b/>
          <w:bCs/>
        </w:rPr>
      </w:pPr>
    </w:p>
    <w:p w14:paraId="588BF4A3" w14:textId="77777777" w:rsidR="00864099" w:rsidRDefault="00864099" w:rsidP="00600C1F"/>
    <w:p w14:paraId="03D0F819" w14:textId="13F3FBB3" w:rsidR="00A37238" w:rsidRPr="00E9435E" w:rsidRDefault="00A37238" w:rsidP="00AB2BFB">
      <w:pPr>
        <w:pStyle w:val="Heading2"/>
      </w:pPr>
      <w:bookmarkStart w:id="74" w:name="_Toc20765364"/>
      <w:bookmarkStart w:id="75" w:name="_Toc23250001"/>
      <w:r>
        <w:t xml:space="preserve">Step </w:t>
      </w:r>
      <w:r w:rsidR="0091403B">
        <w:t>5</w:t>
      </w:r>
      <w:r w:rsidR="004D78FC">
        <w:t xml:space="preserve"> </w:t>
      </w:r>
      <w:r w:rsidR="33601574">
        <w:t>–</w:t>
      </w:r>
      <w:r>
        <w:t xml:space="preserve"> </w:t>
      </w:r>
      <w:r w:rsidR="33601574">
        <w:t xml:space="preserve">Evaluate </w:t>
      </w:r>
      <w:r w:rsidRPr="00E9435E">
        <w:t>Cost Effectiveness</w:t>
      </w:r>
      <w:bookmarkEnd w:id="74"/>
      <w:bookmarkEnd w:id="75"/>
    </w:p>
    <w:p w14:paraId="58FEA7E5" w14:textId="22946517" w:rsidR="00E06509" w:rsidRPr="00E06509" w:rsidRDefault="00E06509" w:rsidP="00A37238">
      <w:pPr>
        <w:rPr>
          <w:b/>
          <w:bCs/>
        </w:rPr>
      </w:pPr>
    </w:p>
    <w:p w14:paraId="6466A745" w14:textId="352299CD" w:rsidR="00A37238" w:rsidRDefault="00A37238" w:rsidP="6230028E">
      <w:r w:rsidRPr="00E9435E">
        <w:t>Fuel substitution measures are not required to pass cost-effectiveness thresholds at the individual measure level to be eligible for energy efficiency program funding</w:t>
      </w:r>
      <w:r w:rsidR="007F795F">
        <w:t>.</w:t>
      </w:r>
      <w:r w:rsidRPr="00E9435E">
        <w:rPr>
          <w:rStyle w:val="FootnoteReference"/>
        </w:rPr>
        <w:footnoteReference w:id="23"/>
      </w:r>
      <w:r w:rsidR="007F795F">
        <w:t xml:space="preserve"> </w:t>
      </w:r>
      <w:r w:rsidR="33601574" w:rsidRPr="00E9435E">
        <w:t xml:space="preserve">However, </w:t>
      </w:r>
      <w:r w:rsidR="26BF334D" w:rsidRPr="00E9435E">
        <w:t>f</w:t>
      </w:r>
      <w:r w:rsidR="5A634892" w:rsidRPr="00E9435E">
        <w:t xml:space="preserve">uel substitution measures are included in the cost effectiveness </w:t>
      </w:r>
      <w:r w:rsidR="6230028E" w:rsidRPr="00E9435E">
        <w:t xml:space="preserve">analysis </w:t>
      </w:r>
      <w:r w:rsidR="5A634892" w:rsidRPr="00E9435E">
        <w:t>of PA energy efficiency portfolios. Therefore</w:t>
      </w:r>
      <w:r w:rsidR="0FEE4B4B" w:rsidRPr="00E9435E">
        <w:t>, program developers should calculate and evaluate</w:t>
      </w:r>
      <w:r w:rsidR="5A634892" w:rsidRPr="6230028E">
        <w:t xml:space="preserve"> </w:t>
      </w:r>
      <w:r w:rsidR="0FEE4B4B" w:rsidRPr="00E9435E">
        <w:t xml:space="preserve">the cost effectiveness of fuel substitution measures.  </w:t>
      </w:r>
    </w:p>
    <w:p w14:paraId="04219B16" w14:textId="77777777" w:rsidR="00A37238" w:rsidRPr="00E9435E" w:rsidRDefault="00A37238" w:rsidP="00A37238"/>
    <w:p w14:paraId="5D2CD755" w14:textId="744B1349" w:rsidR="39918346" w:rsidRDefault="39918346" w:rsidP="255F7F5A">
      <w:r>
        <w:t>To calculate the cost effectiveness of fuel substitution measures, program developers should use the cost effectiveness tool</w:t>
      </w:r>
      <w:r w:rsidR="6880B071" w:rsidRPr="6880B071">
        <w:t xml:space="preserve"> (CET)</w:t>
      </w:r>
      <w:r w:rsidRPr="255F7F5A">
        <w:t>.</w:t>
      </w:r>
      <w:r w:rsidR="6880B071">
        <w:t xml:space="preserve"> Generally, fuel substitution </w:t>
      </w:r>
      <w:r w:rsidR="0D953696">
        <w:t xml:space="preserve">inputs are </w:t>
      </w:r>
      <w:r w:rsidR="447A5733">
        <w:t>the</w:t>
      </w:r>
      <w:r w:rsidR="0D953696" w:rsidRPr="255F7F5A">
        <w:t xml:space="preserve"> </w:t>
      </w:r>
      <w:r w:rsidR="447A5733">
        <w:t xml:space="preserve">same as </w:t>
      </w:r>
      <w:r w:rsidR="0D953696">
        <w:t>non-fuel substitution energy efficiency measures</w:t>
      </w:r>
      <w:r w:rsidR="447A5733" w:rsidRPr="255F7F5A">
        <w:t>.</w:t>
      </w:r>
      <w:r w:rsidR="0D953696" w:rsidRPr="255F7F5A">
        <w:t xml:space="preserve"> </w:t>
      </w:r>
      <w:r w:rsidR="447A5733">
        <w:t>The following C</w:t>
      </w:r>
      <w:r w:rsidR="255F7F5A">
        <w:t>ET inputs require different treatment for fuel substitution measures than non-fuel substitution measures:</w:t>
      </w:r>
    </w:p>
    <w:p w14:paraId="6DBBA858" w14:textId="41D083AB" w:rsidR="255F7F5A" w:rsidRDefault="255F7F5A"/>
    <w:p w14:paraId="09F51460" w14:textId="278A34D0" w:rsidR="2E30B014" w:rsidRPr="00D10656" w:rsidRDefault="2E30B014" w:rsidP="00D10656">
      <w:pPr>
        <w:pStyle w:val="ListParagraph"/>
        <w:numPr>
          <w:ilvl w:val="0"/>
          <w:numId w:val="34"/>
        </w:numPr>
        <w:rPr>
          <w:b/>
          <w:bCs/>
        </w:rPr>
      </w:pPr>
      <w:r w:rsidRPr="00D10656">
        <w:rPr>
          <w:b/>
          <w:bCs/>
        </w:rPr>
        <w:t xml:space="preserve">Measure Impact Type: </w:t>
      </w:r>
      <w:r w:rsidR="4B95F916" w:rsidRPr="00981688">
        <w:t>In 2020, the CET will be updated to include fuel substitution specific measure impact types. Users should select either “</w:t>
      </w:r>
      <w:r w:rsidR="39C833BB" w:rsidRPr="00981688">
        <w:t>Fuel Sub-Deemed" for deemed measures or “Fuel Sub-Custom" for custom measures.</w:t>
      </w:r>
    </w:p>
    <w:p w14:paraId="01A49BD5" w14:textId="7C476B33" w:rsidR="39C833BB" w:rsidRDefault="39C833BB" w:rsidP="00D10656">
      <w:pPr>
        <w:ind w:left="360"/>
      </w:pPr>
    </w:p>
    <w:p w14:paraId="702EA527" w14:textId="50E0FFC3" w:rsidR="00A37238" w:rsidRPr="00981688" w:rsidRDefault="00A37238" w:rsidP="00D10656">
      <w:pPr>
        <w:pStyle w:val="ListParagraph"/>
        <w:numPr>
          <w:ilvl w:val="0"/>
          <w:numId w:val="34"/>
        </w:numPr>
        <w:rPr>
          <w:b/>
        </w:rPr>
      </w:pPr>
      <w:r w:rsidRPr="772A4EEA">
        <w:rPr>
          <w:b/>
          <w:bCs/>
        </w:rPr>
        <w:t xml:space="preserve">Measure Savings: </w:t>
      </w:r>
      <w:r w:rsidR="07F2E0A6">
        <w:t>Users will input both</w:t>
      </w:r>
      <w:r>
        <w:t xml:space="preserve"> the </w:t>
      </w:r>
      <w:r w:rsidR="07F2E0A6">
        <w:t xml:space="preserve">increase kWh or </w:t>
      </w:r>
      <w:proofErr w:type="spellStart"/>
      <w:r w:rsidR="07F2E0A6">
        <w:t>Therm</w:t>
      </w:r>
      <w:proofErr w:type="spellEnd"/>
      <w:r w:rsidR="07F2E0A6">
        <w:t xml:space="preserve"> associated with the </w:t>
      </w:r>
      <w:r w:rsidR="70EE6F5C">
        <w:t>"new fuel” measure</w:t>
      </w:r>
      <w:r w:rsidR="663D3277">
        <w:t xml:space="preserve"> and the decrease</w:t>
      </w:r>
      <w:r>
        <w:t xml:space="preserve"> in </w:t>
      </w:r>
      <w:r w:rsidR="663D3277">
        <w:t xml:space="preserve">kWh or </w:t>
      </w:r>
      <w:proofErr w:type="spellStart"/>
      <w:r w:rsidR="663D3277">
        <w:t>Therm</w:t>
      </w:r>
      <w:proofErr w:type="spellEnd"/>
      <w:r w:rsidR="663D3277">
        <w:t xml:space="preserve"> associated with the replacement of the </w:t>
      </w:r>
      <w:r w:rsidR="70EE6F5C">
        <w:t>baseline “original fuel” measure.</w:t>
      </w:r>
    </w:p>
    <w:p w14:paraId="4882CB3F" w14:textId="77777777" w:rsidR="00A37238" w:rsidRPr="00E9435E" w:rsidRDefault="00A37238" w:rsidP="00A37238"/>
    <w:p w14:paraId="5CBC0707" w14:textId="442238D8" w:rsidR="00A37238" w:rsidRPr="00E06509" w:rsidRDefault="00A37238" w:rsidP="772A4EEA">
      <w:pPr>
        <w:pStyle w:val="ListParagraph"/>
        <w:numPr>
          <w:ilvl w:val="0"/>
          <w:numId w:val="17"/>
        </w:numPr>
        <w:rPr>
          <w:b/>
          <w:bCs/>
        </w:rPr>
      </w:pPr>
      <w:r w:rsidRPr="772A4EEA">
        <w:rPr>
          <w:b/>
          <w:bCs/>
        </w:rPr>
        <w:t>Net</w:t>
      </w:r>
      <w:r w:rsidR="4DB94A64" w:rsidRPr="772A4EEA">
        <w:rPr>
          <w:b/>
          <w:bCs/>
        </w:rPr>
        <w:t>-</w:t>
      </w:r>
      <w:r w:rsidRPr="772A4EEA">
        <w:rPr>
          <w:b/>
          <w:bCs/>
        </w:rPr>
        <w:t>To</w:t>
      </w:r>
      <w:r w:rsidR="4DB94A64" w:rsidRPr="772A4EEA">
        <w:rPr>
          <w:b/>
          <w:bCs/>
        </w:rPr>
        <w:t>-</w:t>
      </w:r>
      <w:r w:rsidRPr="772A4EEA">
        <w:rPr>
          <w:b/>
          <w:bCs/>
        </w:rPr>
        <w:t>Gross (NTG)</w:t>
      </w:r>
      <w:r>
        <w:t xml:space="preserve">: As directed in </w:t>
      </w:r>
      <w:r w:rsidR="007B71B5">
        <w:t xml:space="preserve">the </w:t>
      </w:r>
      <w:r>
        <w:t>Decision 19-08-009</w:t>
      </w:r>
      <w:r w:rsidR="00852CFC">
        <w:t>, use</w:t>
      </w:r>
      <w:r>
        <w:t xml:space="preserve"> a default NTG ratio 1.0 until impact evaluation results become available. </w:t>
      </w:r>
    </w:p>
    <w:p w14:paraId="6FEB9B3F" w14:textId="77777777" w:rsidR="00E06509" w:rsidRPr="00E06509" w:rsidRDefault="00E06509" w:rsidP="00E06509">
      <w:pPr>
        <w:pStyle w:val="ListParagraph"/>
        <w:rPr>
          <w:b/>
          <w:bCs/>
        </w:rPr>
      </w:pPr>
    </w:p>
    <w:p w14:paraId="79EF0C63" w14:textId="14BE5F68" w:rsidR="00E06509" w:rsidRDefault="00E06509" w:rsidP="00E06509">
      <w:pPr>
        <w:pStyle w:val="ListParagraph"/>
        <w:numPr>
          <w:ilvl w:val="0"/>
          <w:numId w:val="36"/>
        </w:numPr>
      </w:pPr>
      <w:r w:rsidRPr="00E06509">
        <w:rPr>
          <w:b/>
          <w:bCs/>
        </w:rPr>
        <w:t>Incremental Measure Costs</w:t>
      </w:r>
      <w:r>
        <w:t xml:space="preserve">: </w:t>
      </w:r>
      <w:r w:rsidRPr="00315409">
        <w:t>The incremental measure cost is the cost of the measure</w:t>
      </w:r>
      <w:r>
        <w:t xml:space="preserve"> technology</w:t>
      </w:r>
      <w:r w:rsidRPr="00315409">
        <w:t xml:space="preserve"> less the cost of the baseline </w:t>
      </w:r>
      <w:r>
        <w:t>technology</w:t>
      </w:r>
      <w:r w:rsidRPr="00315409">
        <w:t xml:space="preserve">. </w:t>
      </w:r>
      <w:r>
        <w:t xml:space="preserve"> C</w:t>
      </w:r>
      <w:r w:rsidRPr="00315409">
        <w:t xml:space="preserve">alculate the baseline </w:t>
      </w:r>
      <w:r>
        <w:t>technology</w:t>
      </w:r>
      <w:r w:rsidRPr="00315409">
        <w:t xml:space="preserve"> cost </w:t>
      </w:r>
      <w:r>
        <w:t xml:space="preserve">and the measure technology cost </w:t>
      </w:r>
      <w:r w:rsidRPr="00315409">
        <w:t>using the CPUC’s cost effectiveness policies described in the Energy Efficiency Policy Manual.</w:t>
      </w:r>
      <w:r w:rsidRPr="00D10656">
        <w:rPr>
          <w:rStyle w:val="FootnoteReference"/>
        </w:rPr>
        <w:footnoteReference w:id="24"/>
      </w:r>
      <w:r>
        <w:t xml:space="preserve"> As directed in Decision 19-08-009, the</w:t>
      </w:r>
      <w:r w:rsidRPr="00981688">
        <w:t xml:space="preserve"> measure </w:t>
      </w:r>
      <w:r>
        <w:t xml:space="preserve">technology </w:t>
      </w:r>
      <w:r w:rsidRPr="00981688">
        <w:t xml:space="preserve">cost </w:t>
      </w:r>
      <w:r w:rsidRPr="009C4866">
        <w:t>may exclude any additional upgrades required to increase the building</w:t>
      </w:r>
      <w:r w:rsidRPr="00CE6311">
        <w:t>’s total electric or natural gas load (e.g., electric panel upgrades, running new gas lines, increasing size o</w:t>
      </w:r>
      <w:r w:rsidRPr="00981688">
        <w:t xml:space="preserve">f natural gas lines, etc.). </w:t>
      </w:r>
      <w:r>
        <w:t>If additional upgrades are included in the measure technology cost, cost a</w:t>
      </w:r>
      <w:r w:rsidRPr="00981688">
        <w:t xml:space="preserve">ssumptions </w:t>
      </w:r>
      <w:r w:rsidRPr="003110FE">
        <w:t>should be included in workpapers</w:t>
      </w:r>
      <w:r w:rsidRPr="00E1444F">
        <w:t xml:space="preserve"> or project submittals</w:t>
      </w:r>
      <w:r w:rsidRPr="009C4866">
        <w:t>, with appropriate justification and rationale. The necessity of such building upgr</w:t>
      </w:r>
      <w:r w:rsidRPr="00CE6311">
        <w:t>ades is specific to individual buildings and the cumulative total of installed technologies in the building, and th</w:t>
      </w:r>
      <w:r w:rsidRPr="0087559C">
        <w:t>erefore, in most cases, should not be attributed entirely to a single measure</w:t>
      </w:r>
      <w:r>
        <w:t xml:space="preserve"> technology</w:t>
      </w:r>
      <w:r w:rsidRPr="72B0B275">
        <w:t>.</w:t>
      </w:r>
    </w:p>
    <w:p w14:paraId="611128D4" w14:textId="1B2A5BD3" w:rsidR="00E06509" w:rsidRDefault="00E06509" w:rsidP="00E06509">
      <w:pPr>
        <w:pStyle w:val="ListParagraph"/>
      </w:pPr>
    </w:p>
    <w:p w14:paraId="7966EB27" w14:textId="72442738" w:rsidR="00E06509" w:rsidRDefault="00E06509" w:rsidP="00E06509">
      <w:pPr>
        <w:pStyle w:val="ListParagraph"/>
        <w:rPr>
          <w:b/>
          <w:bCs/>
        </w:rPr>
      </w:pPr>
    </w:p>
    <w:p w14:paraId="0B918754" w14:textId="2F67836A" w:rsidR="5CD831A4" w:rsidRDefault="5CD831A4"/>
    <w:p w14:paraId="6D6B5895" w14:textId="668357A8" w:rsidR="5CD831A4" w:rsidRDefault="5CD831A4">
      <w:r>
        <w:t>As of Q4 2019</w:t>
      </w:r>
      <w:r w:rsidR="68FBC59F" w:rsidRPr="68FBC59F">
        <w:t xml:space="preserve">, the CET correctly outputs cost effectiveness ratios for fuel substitution measures. </w:t>
      </w:r>
      <w:r w:rsidR="14E4B408" w:rsidRPr="68FBC59F">
        <w:t xml:space="preserve">However, updates to the CET are required to identify fuel </w:t>
      </w:r>
      <w:r w:rsidR="1C497EE7" w:rsidRPr="68FBC59F">
        <w:t>substitution</w:t>
      </w:r>
      <w:r w:rsidR="31EA8B43">
        <w:t xml:space="preserve"> measures</w:t>
      </w:r>
      <w:r w:rsidR="4CB45ED8">
        <w:t xml:space="preserve"> and </w:t>
      </w:r>
      <w:r w:rsidR="4CB45ED8">
        <w:lastRenderedPageBreak/>
        <w:t>properly output savings and goal attainment values</w:t>
      </w:r>
      <w:r w:rsidR="6017F1C2">
        <w:t>. The CET updates w</w:t>
      </w:r>
      <w:r w:rsidR="08D0B289">
        <w:t xml:space="preserve">ill occur starting in the first quarter in 2020 and will be applied in </w:t>
      </w:r>
      <w:proofErr w:type="gramStart"/>
      <w:r w:rsidR="08D0B289">
        <w:t>sufficient</w:t>
      </w:r>
      <w:proofErr w:type="gramEnd"/>
      <w:r w:rsidR="08D0B289">
        <w:t xml:space="preserve"> time for program administrators to submit their 2020 claims and 20201 filings.</w:t>
      </w:r>
    </w:p>
    <w:p w14:paraId="74E33653" w14:textId="4DF7B96E" w:rsidR="56300D55" w:rsidRDefault="56300D55"/>
    <w:p w14:paraId="56A3871B" w14:textId="77777777" w:rsidR="00E06509" w:rsidRDefault="00E06509" w:rsidP="00E06509"/>
    <w:p w14:paraId="497753F3" w14:textId="1D64E793" w:rsidR="00AF6AFB" w:rsidRPr="00E9435E" w:rsidRDefault="00AF6AFB">
      <w:pPr>
        <w:spacing w:after="200" w:line="276" w:lineRule="auto"/>
        <w:rPr>
          <w:rFonts w:eastAsiaTheme="majorEastAsia" w:cstheme="majorBidi"/>
          <w:color w:val="00A5DF"/>
          <w:sz w:val="32"/>
          <w:szCs w:val="32"/>
        </w:rPr>
      </w:pPr>
      <w:r w:rsidRPr="00E9435E">
        <w:br w:type="page"/>
      </w:r>
    </w:p>
    <w:p w14:paraId="73422F5A" w14:textId="7CF51EE4" w:rsidR="00E4073E" w:rsidRPr="00E9435E" w:rsidRDefault="001D7E19" w:rsidP="00485877">
      <w:pPr>
        <w:pStyle w:val="Heading1"/>
        <w:numPr>
          <w:ilvl w:val="0"/>
          <w:numId w:val="6"/>
        </w:numPr>
      </w:pPr>
      <w:r w:rsidRPr="757BC213">
        <w:lastRenderedPageBreak/>
        <w:t xml:space="preserve">  </w:t>
      </w:r>
      <w:bookmarkStart w:id="76" w:name="_Toc20765370"/>
      <w:bookmarkStart w:id="77" w:name="_Toc23250002"/>
      <w:r w:rsidR="009A1DBE" w:rsidRPr="00E9435E">
        <w:t>F</w:t>
      </w:r>
      <w:r w:rsidR="23858C8B" w:rsidRPr="00E9435E">
        <w:t>uel Substitution Calculator Meth</w:t>
      </w:r>
      <w:r w:rsidR="757BC213" w:rsidRPr="00E9435E">
        <w:t>o</w:t>
      </w:r>
      <w:r w:rsidR="23858C8B" w:rsidRPr="00E9435E">
        <w:t>dology</w:t>
      </w:r>
      <w:bookmarkEnd w:id="76"/>
      <w:bookmarkEnd w:id="77"/>
    </w:p>
    <w:p w14:paraId="156B09A9" w14:textId="77777777" w:rsidR="004E3EE2" w:rsidRPr="00E9435E" w:rsidRDefault="004E3EE2" w:rsidP="004E3EE2"/>
    <w:p w14:paraId="5D2448C8" w14:textId="5E58421D" w:rsidR="1E3CF8EF" w:rsidRDefault="23858C8B">
      <w:pPr>
        <w:rPr>
          <w:color w:val="FF0000"/>
        </w:rPr>
      </w:pPr>
      <w:bookmarkStart w:id="78" w:name="_Toc530138188"/>
      <w:bookmarkStart w:id="79" w:name="_Toc530138189"/>
      <w:bookmarkStart w:id="80" w:name="_Toc530138190"/>
      <w:bookmarkStart w:id="81" w:name="_Toc530138191"/>
      <w:bookmarkStart w:id="82" w:name="_Toc432446608"/>
      <w:bookmarkStart w:id="83" w:name="_Toc432446909"/>
      <w:bookmarkStart w:id="84" w:name="_Toc432447699"/>
      <w:bookmarkStart w:id="85" w:name="_Toc496350749"/>
      <w:bookmarkStart w:id="86" w:name="_Toc496648879"/>
      <w:bookmarkStart w:id="87" w:name="_Toc496875788"/>
      <w:bookmarkEnd w:id="78"/>
      <w:bookmarkEnd w:id="79"/>
      <w:bookmarkEnd w:id="80"/>
      <w:bookmarkEnd w:id="81"/>
      <w:bookmarkEnd w:id="82"/>
      <w:bookmarkEnd w:id="83"/>
      <w:bookmarkEnd w:id="84"/>
      <w:bookmarkEnd w:id="85"/>
      <w:bookmarkEnd w:id="86"/>
      <w:bookmarkEnd w:id="87"/>
      <w:r>
        <w:t xml:space="preserve">This </w:t>
      </w:r>
      <w:r w:rsidR="00E06509">
        <w:t>chapter</w:t>
      </w:r>
      <w:r>
        <w:t xml:space="preserve"> provides greater details on the </w:t>
      </w:r>
      <w:r w:rsidR="757BC213" w:rsidRPr="757BC213">
        <w:t>fuel sub</w:t>
      </w:r>
      <w:r w:rsidR="784F8D47" w:rsidRPr="784F8D47">
        <w:t xml:space="preserve">stitution </w:t>
      </w:r>
      <w:r w:rsidR="757BC213" w:rsidRPr="757BC213">
        <w:t xml:space="preserve">calculator, including </w:t>
      </w:r>
      <w:r w:rsidR="784F8D47" w:rsidRPr="757BC213">
        <w:t>information on the user provided inputs, calculator output</w:t>
      </w:r>
      <w:r w:rsidR="6D3512C5" w:rsidRPr="757BC213">
        <w:t>s, and formulas.</w:t>
      </w:r>
      <w:r w:rsidR="00894056">
        <w:rPr>
          <w:rStyle w:val="FootnoteReference"/>
        </w:rPr>
        <w:footnoteReference w:id="25"/>
      </w:r>
      <w:r w:rsidR="6D3512C5">
        <w:t xml:space="preserve"> T</w:t>
      </w:r>
      <w:r w:rsidR="65A93C23">
        <w:t>he fuel substitution calculator was developed by the technical guidance document team and w</w:t>
      </w:r>
      <w:r w:rsidR="71A37430">
        <w:t xml:space="preserve">ill be updated along with the fuel substitution technical guidance, as required. The fuel substitution calculator can be accessed at: </w:t>
      </w:r>
      <w:hyperlink r:id="rId18" w:history="1">
        <w:r w:rsidR="007C06CA" w:rsidRPr="00752D62">
          <w:rPr>
            <w:rStyle w:val="Hyperlink"/>
          </w:rPr>
          <w:t>https://www.cpuc.ca.gov/General.aspx?id=6442463306</w:t>
        </w:r>
      </w:hyperlink>
      <w:r w:rsidR="007C06CA">
        <w:rPr>
          <w:color w:val="FF0000"/>
        </w:rPr>
        <w:t>.</w:t>
      </w:r>
    </w:p>
    <w:p w14:paraId="08011A92" w14:textId="77777777" w:rsidR="007C06CA" w:rsidRPr="00D10656" w:rsidRDefault="007C06CA">
      <w:pPr>
        <w:rPr>
          <w:color w:val="FF0000"/>
          <w:highlight w:val="yellow"/>
        </w:rPr>
      </w:pPr>
    </w:p>
    <w:p w14:paraId="70A8D990" w14:textId="4AE9072B" w:rsidR="1E3CF8EF" w:rsidRDefault="4508685E" w:rsidP="00AB2BFB">
      <w:pPr>
        <w:pStyle w:val="Heading2"/>
      </w:pPr>
      <w:bookmarkStart w:id="88" w:name="_Toc23250003"/>
      <w:r>
        <w:t>Calculator Overview</w:t>
      </w:r>
      <w:bookmarkEnd w:id="88"/>
    </w:p>
    <w:p w14:paraId="3C1E8A32" w14:textId="747CE999" w:rsidR="1E3CF8EF" w:rsidRDefault="1E3CF8EF"/>
    <w:p w14:paraId="6F203BDF" w14:textId="08309434" w:rsidR="4508685E" w:rsidRDefault="4508685E">
      <w:r>
        <w:t>The fuel substitution calculator</w:t>
      </w:r>
      <w:r w:rsidR="26FEBD87" w:rsidRPr="26FEBD87">
        <w:t xml:space="preserve"> has the following tabs:</w:t>
      </w:r>
    </w:p>
    <w:p w14:paraId="17DA15DE" w14:textId="68CDA1C6" w:rsidR="26FEBD87" w:rsidRDefault="08D0B289" w:rsidP="08D0B289">
      <w:pPr>
        <w:pStyle w:val="ListParagraph"/>
        <w:numPr>
          <w:ilvl w:val="0"/>
          <w:numId w:val="1"/>
        </w:numPr>
      </w:pPr>
      <w:r>
        <w:t>Introduction</w:t>
      </w:r>
    </w:p>
    <w:p w14:paraId="7F6086DF" w14:textId="6DCED66F" w:rsidR="08D0B289" w:rsidRDefault="08D0B289" w:rsidP="00D10656">
      <w:pPr>
        <w:pStyle w:val="ListParagraph"/>
        <w:numPr>
          <w:ilvl w:val="0"/>
          <w:numId w:val="34"/>
        </w:numPr>
      </w:pPr>
      <w:r>
        <w:t>Fuel Sub Calcs</w:t>
      </w:r>
    </w:p>
    <w:p w14:paraId="48F7C243" w14:textId="2A4A232A" w:rsidR="08D0B289" w:rsidRDefault="08D0B289" w:rsidP="00D10656">
      <w:pPr>
        <w:pStyle w:val="ListParagraph"/>
        <w:numPr>
          <w:ilvl w:val="0"/>
          <w:numId w:val="34"/>
        </w:numPr>
      </w:pPr>
      <w:r>
        <w:t>Dropdown</w:t>
      </w:r>
    </w:p>
    <w:p w14:paraId="03CEED82" w14:textId="7D3BDDB4" w:rsidR="08D0B289" w:rsidRDefault="3FEF68D4" w:rsidP="00D10656">
      <w:pPr>
        <w:pStyle w:val="ListParagraph"/>
        <w:numPr>
          <w:ilvl w:val="0"/>
          <w:numId w:val="34"/>
        </w:numPr>
      </w:pPr>
      <w:r w:rsidRPr="3FEF68D4">
        <w:t>Time Series Tables</w:t>
      </w:r>
    </w:p>
    <w:p w14:paraId="0DD4718F" w14:textId="3C12215B" w:rsidR="08D0B289" w:rsidRDefault="3FEF68D4" w:rsidP="00D10656">
      <w:pPr>
        <w:pStyle w:val="ListParagraph"/>
        <w:numPr>
          <w:ilvl w:val="0"/>
          <w:numId w:val="34"/>
        </w:numPr>
      </w:pPr>
      <w:r w:rsidRPr="3FEF68D4">
        <w:t>Annual Factors</w:t>
      </w:r>
    </w:p>
    <w:p w14:paraId="7D7051F2" w14:textId="73DAA743" w:rsidR="3FEF68D4" w:rsidRDefault="3E5D8641" w:rsidP="00D10656">
      <w:pPr>
        <w:pStyle w:val="ListParagraph"/>
        <w:numPr>
          <w:ilvl w:val="0"/>
          <w:numId w:val="34"/>
        </w:numPr>
      </w:pPr>
      <w:r w:rsidRPr="3E5D8641">
        <w:t>Long-run Emissions Inputs</w:t>
      </w:r>
    </w:p>
    <w:p w14:paraId="707500EA" w14:textId="3969C17A" w:rsidR="3E5D8641" w:rsidRPr="00D31787" w:rsidRDefault="3E5D8641" w:rsidP="00D10656">
      <w:pPr>
        <w:pStyle w:val="ListParagraph"/>
        <w:numPr>
          <w:ilvl w:val="0"/>
          <w:numId w:val="34"/>
        </w:numPr>
      </w:pPr>
      <w:r>
        <w:t>Reference</w:t>
      </w:r>
    </w:p>
    <w:p w14:paraId="3E544C09" w14:textId="0AEB7EDF" w:rsidR="56030C82" w:rsidRDefault="56030C82" w:rsidP="00D10656">
      <w:pPr>
        <w:ind w:left="360"/>
      </w:pPr>
    </w:p>
    <w:p w14:paraId="623AE80F" w14:textId="6E24AEB1" w:rsidR="3E5D8641" w:rsidRDefault="3E5D8641">
      <w:r>
        <w:t>To utilize the calcu</w:t>
      </w:r>
      <w:r w:rsidR="56030C82">
        <w:t>l</w:t>
      </w:r>
      <w:r>
        <w:t xml:space="preserve">ator, users should focus on the introduction and fuel sub </w:t>
      </w:r>
      <w:r w:rsidR="53E7B227" w:rsidRPr="53E7B227">
        <w:t>calcs tabs. The introduction tab provides background on fuel substit</w:t>
      </w:r>
      <w:r w:rsidR="56030C82" w:rsidRPr="53E7B227">
        <w:t>ut</w:t>
      </w:r>
      <w:r w:rsidR="53E7B227" w:rsidRPr="53E7B227">
        <w:t>ion, descr</w:t>
      </w:r>
      <w:r w:rsidR="56030C82" w:rsidRPr="56030C82">
        <w:t>ibes how to use the tool, and outlines the calculation methodology.</w:t>
      </w:r>
      <w:r w:rsidR="577DF9D1" w:rsidRPr="56030C82">
        <w:t xml:space="preserve"> The introduction also includes the calculator change log, which describes updates to the calculator as they occur.</w:t>
      </w:r>
    </w:p>
    <w:p w14:paraId="06A09296" w14:textId="533A9506" w:rsidR="577DF9D1" w:rsidRDefault="577DF9D1"/>
    <w:p w14:paraId="69D232D6" w14:textId="50AB6016" w:rsidR="00894056" w:rsidRDefault="577DF9D1" w:rsidP="00894056">
      <w:r>
        <w:t>The</w:t>
      </w:r>
      <w:r w:rsidR="770C289C">
        <w:t xml:space="preserve"> fuel sub calcs tab contains </w:t>
      </w:r>
      <w:proofErr w:type="gramStart"/>
      <w:r w:rsidR="770C289C">
        <w:t>all of</w:t>
      </w:r>
      <w:proofErr w:type="gramEnd"/>
      <w:r w:rsidR="770C289C">
        <w:t xml:space="preserve"> the user input fields and outputs </w:t>
      </w:r>
      <w:r w:rsidR="6D7B05D3">
        <w:t>related to the fuel substitution test results and energy savings reporting.</w:t>
      </w:r>
      <w:r w:rsidR="40AE2AED" w:rsidRPr="0392A496">
        <w:t xml:space="preserve"> </w:t>
      </w:r>
      <w:r w:rsidR="50AEFBCD" w:rsidRPr="50AEFBCD">
        <w:t xml:space="preserve">User inputs are entered in section 1. Section 2 outputs </w:t>
      </w:r>
      <w:r w:rsidR="61E34F5B">
        <w:t xml:space="preserve">the results for </w:t>
      </w:r>
      <w:r w:rsidR="007F795F">
        <w:t>Part One</w:t>
      </w:r>
      <w:r w:rsidR="00EA3AEA">
        <w:t xml:space="preserve"> (2.1)</w:t>
      </w:r>
      <w:r w:rsidR="61E34F5B">
        <w:t xml:space="preserve"> and </w:t>
      </w:r>
      <w:r w:rsidR="007F795F">
        <w:t>Part Two</w:t>
      </w:r>
      <w:r w:rsidR="00EA3AEA">
        <w:t xml:space="preserve"> (2.2)</w:t>
      </w:r>
      <w:r w:rsidR="61E34F5B">
        <w:t xml:space="preserve"> of the fuel substitution test. Section 3 displays the energy savings reporting values.</w:t>
      </w:r>
    </w:p>
    <w:p w14:paraId="00867858" w14:textId="45D508C9" w:rsidR="0392A496" w:rsidRDefault="0392A496"/>
    <w:p w14:paraId="3FF533A1" w14:textId="556AA917" w:rsidR="00894056" w:rsidRDefault="6050222D" w:rsidP="00AB2BFB">
      <w:pPr>
        <w:pStyle w:val="Heading2"/>
      </w:pPr>
      <w:bookmarkStart w:id="89" w:name="_Toc23250004"/>
      <w:r>
        <w:t>Section 1:</w:t>
      </w:r>
      <w:r w:rsidR="008A2FF2">
        <w:t xml:space="preserve"> </w:t>
      </w:r>
      <w:r>
        <w:t>Required Measure Inputs</w:t>
      </w:r>
      <w:bookmarkEnd w:id="89"/>
      <w:r w:rsidR="00894056">
        <w:t xml:space="preserve"> </w:t>
      </w:r>
    </w:p>
    <w:p w14:paraId="3CCA72F1" w14:textId="77777777" w:rsidR="00894056" w:rsidRDefault="00894056" w:rsidP="00894056"/>
    <w:p w14:paraId="3DA85E05" w14:textId="77777777" w:rsidR="00894056" w:rsidRDefault="00894056" w:rsidP="00894056">
      <w:r>
        <w:t xml:space="preserve">Fuel Substitution Calculator (tool) requires the following inputs from the user to determine if the measure passes the fuel substitution test.  These inputs are requested in Section 1 of the tool. </w:t>
      </w:r>
    </w:p>
    <w:p w14:paraId="7F2BB0D1" w14:textId="77777777" w:rsidR="00894056" w:rsidRPr="00B3605E" w:rsidRDefault="00894056" w:rsidP="00894056"/>
    <w:p w14:paraId="4A2B3B4F" w14:textId="77777777" w:rsidR="00894056" w:rsidRDefault="00894056" w:rsidP="0087344F">
      <w:pPr>
        <w:pStyle w:val="ListParagraph"/>
        <w:numPr>
          <w:ilvl w:val="0"/>
          <w:numId w:val="14"/>
        </w:numPr>
      </w:pPr>
      <w:r>
        <w:t xml:space="preserve">Measure Description – Brief description of the measure. e.g. Commercial electric steam cooker replacing gas steam cooker </w:t>
      </w:r>
    </w:p>
    <w:p w14:paraId="778F296D" w14:textId="77777777" w:rsidR="00894056" w:rsidRDefault="00894056" w:rsidP="0087344F">
      <w:pPr>
        <w:pStyle w:val="ListParagraph"/>
        <w:numPr>
          <w:ilvl w:val="0"/>
          <w:numId w:val="14"/>
        </w:numPr>
      </w:pPr>
      <w:r>
        <w:t xml:space="preserve">Quantity – Quantity of the measure units </w:t>
      </w:r>
    </w:p>
    <w:p w14:paraId="4A3531BC" w14:textId="77777777" w:rsidR="00894056" w:rsidRDefault="00894056" w:rsidP="0087344F">
      <w:pPr>
        <w:pStyle w:val="ListParagraph"/>
        <w:numPr>
          <w:ilvl w:val="0"/>
          <w:numId w:val="14"/>
        </w:numPr>
      </w:pPr>
      <w:r>
        <w:t xml:space="preserve">EUL – Effective Useful Life of the measure </w:t>
      </w:r>
    </w:p>
    <w:p w14:paraId="75C1CBF1" w14:textId="77777777" w:rsidR="00894056" w:rsidRDefault="00894056" w:rsidP="0087344F">
      <w:pPr>
        <w:pStyle w:val="ListParagraph"/>
        <w:numPr>
          <w:ilvl w:val="0"/>
          <w:numId w:val="14"/>
        </w:numPr>
      </w:pPr>
      <w:r>
        <w:t>Install Year – The year when the proposed measure will be installed and operational</w:t>
      </w:r>
    </w:p>
    <w:p w14:paraId="26B9C3CE" w14:textId="77777777" w:rsidR="00894056" w:rsidRDefault="00894056" w:rsidP="0087344F">
      <w:pPr>
        <w:pStyle w:val="ListParagraph"/>
        <w:numPr>
          <w:ilvl w:val="0"/>
          <w:numId w:val="14"/>
        </w:numPr>
      </w:pPr>
      <w:r>
        <w:t xml:space="preserve">Original fuel and New fuel </w:t>
      </w:r>
    </w:p>
    <w:p w14:paraId="3F997500" w14:textId="77777777" w:rsidR="00894056" w:rsidRDefault="00894056" w:rsidP="0087344F">
      <w:pPr>
        <w:pStyle w:val="ListParagraph"/>
        <w:numPr>
          <w:ilvl w:val="0"/>
          <w:numId w:val="14"/>
        </w:numPr>
      </w:pPr>
      <w:r>
        <w:t xml:space="preserve">Measure Application Type </w:t>
      </w:r>
    </w:p>
    <w:p w14:paraId="7D2A5F8E" w14:textId="2C885ED3" w:rsidR="00894056" w:rsidRDefault="00894056" w:rsidP="0087344F">
      <w:pPr>
        <w:pStyle w:val="ListParagraph"/>
        <w:numPr>
          <w:ilvl w:val="0"/>
          <w:numId w:val="14"/>
        </w:numPr>
      </w:pPr>
      <w:r>
        <w:t xml:space="preserve">RUL – Remaining Useful </w:t>
      </w:r>
      <w:r w:rsidR="008674D9">
        <w:t>L</w:t>
      </w:r>
      <w:r>
        <w:t>ife for AR measures</w:t>
      </w:r>
    </w:p>
    <w:p w14:paraId="5DA0D3A1" w14:textId="32DD46AB" w:rsidR="00894056" w:rsidRDefault="00894056" w:rsidP="0087344F">
      <w:pPr>
        <w:pStyle w:val="ListParagraph"/>
        <w:numPr>
          <w:ilvl w:val="0"/>
          <w:numId w:val="14"/>
        </w:numPr>
      </w:pPr>
      <w:r>
        <w:t xml:space="preserve">Annual usage (kWh and/ or </w:t>
      </w:r>
      <w:proofErr w:type="spellStart"/>
      <w:r w:rsidR="002A12B2">
        <w:t>Therm</w:t>
      </w:r>
      <w:proofErr w:type="spellEnd"/>
      <w:r>
        <w:t xml:space="preserve">) for the baseline technology </w:t>
      </w:r>
    </w:p>
    <w:p w14:paraId="7DE3A9DE" w14:textId="32EDACAA" w:rsidR="00894056" w:rsidRDefault="00894056" w:rsidP="0087344F">
      <w:pPr>
        <w:pStyle w:val="ListParagraph"/>
        <w:numPr>
          <w:ilvl w:val="0"/>
          <w:numId w:val="14"/>
        </w:numPr>
      </w:pPr>
      <w:r>
        <w:t xml:space="preserve">Annual usage (kWh and/ or </w:t>
      </w:r>
      <w:proofErr w:type="spellStart"/>
      <w:r w:rsidR="002A12B2">
        <w:t>Therm</w:t>
      </w:r>
      <w:proofErr w:type="spellEnd"/>
      <w:r>
        <w:t xml:space="preserve">) for the measure technology </w:t>
      </w:r>
    </w:p>
    <w:p w14:paraId="21F89672" w14:textId="6DE095F2" w:rsidR="00894056" w:rsidRDefault="00894056" w:rsidP="0087344F">
      <w:pPr>
        <w:pStyle w:val="ListParagraph"/>
        <w:numPr>
          <w:ilvl w:val="0"/>
          <w:numId w:val="14"/>
        </w:numPr>
      </w:pPr>
      <w:r>
        <w:t xml:space="preserve">Annual usage (kWh and/ or </w:t>
      </w:r>
      <w:proofErr w:type="spellStart"/>
      <w:r w:rsidR="002A12B2">
        <w:t>Therm</w:t>
      </w:r>
      <w:proofErr w:type="spellEnd"/>
      <w:r>
        <w:t>) for code/ industry standard baseline technology for AR measures</w:t>
      </w:r>
    </w:p>
    <w:p w14:paraId="58B0635D" w14:textId="77777777" w:rsidR="00894056" w:rsidRDefault="00894056" w:rsidP="00894056"/>
    <w:p w14:paraId="01E0B95C" w14:textId="143B642B" w:rsidR="00894056" w:rsidRDefault="30BF62E0" w:rsidP="00AB2BFB">
      <w:pPr>
        <w:pStyle w:val="Heading2"/>
      </w:pPr>
      <w:bookmarkStart w:id="90" w:name="_Toc23250005"/>
      <w:r>
        <w:t>Section 2</w:t>
      </w:r>
      <w:r w:rsidR="00EA3AEA">
        <w:t>: The Fuel Substitution Test</w:t>
      </w:r>
      <w:bookmarkEnd w:id="90"/>
    </w:p>
    <w:p w14:paraId="2533B858" w14:textId="77777777" w:rsidR="00894056" w:rsidRPr="001A0CB0" w:rsidRDefault="00894056" w:rsidP="00894056"/>
    <w:p w14:paraId="6C61E3CF" w14:textId="5224D997" w:rsidR="00894056" w:rsidRDefault="00894056" w:rsidP="54DB28D0">
      <w:r>
        <w:t xml:space="preserve">Using the user entries for annual usage of the baseline and the measure technology, the tool calculates the </w:t>
      </w:r>
      <w:r w:rsidRPr="00E9435E">
        <w:t xml:space="preserve">increased usage for the </w:t>
      </w:r>
      <w:r>
        <w:t>new</w:t>
      </w:r>
      <w:r w:rsidRPr="00E9435E">
        <w:t xml:space="preserve"> fuel and the </w:t>
      </w:r>
      <w:r>
        <w:t>reduced</w:t>
      </w:r>
      <w:r w:rsidRPr="00E9435E">
        <w:t xml:space="preserve"> usage of original fuel</w:t>
      </w:r>
      <w:r w:rsidR="30BF62E0" w:rsidRPr="54DB28D0">
        <w:t>.</w:t>
      </w:r>
      <w:r w:rsidRPr="54DB28D0">
        <w:t xml:space="preserve"> </w:t>
      </w:r>
      <w:r w:rsidR="30BF62E0" w:rsidRPr="00E9435E">
        <w:t>This comb</w:t>
      </w:r>
      <w:r w:rsidR="5677C46A" w:rsidRPr="00E9435E">
        <w:t xml:space="preserve">ined value is the </w:t>
      </w:r>
      <w:r w:rsidR="00881CC9">
        <w:t>life-cycle</w:t>
      </w:r>
      <w:r w:rsidR="30BF62E0" w:rsidRPr="54DB28D0">
        <w:t xml:space="preserve"> </w:t>
      </w:r>
      <w:r w:rsidR="5677C46A" w:rsidRPr="00E9435E">
        <w:t xml:space="preserve">energy savings, represented by MMBTUs. </w:t>
      </w:r>
      <w:r w:rsidR="1CC944AC" w:rsidRPr="00E9435E">
        <w:t>F</w:t>
      </w:r>
      <w:r w:rsidR="4FAB4C8B">
        <w:t>or accelerated</w:t>
      </w:r>
      <w:r w:rsidR="4FAB4C8B" w:rsidRPr="54DB28D0">
        <w:t xml:space="preserve"> </w:t>
      </w:r>
      <w:r w:rsidR="4FAB4C8B">
        <w:t xml:space="preserve">replacement measures, the tool calculates the first and second baseline change in consumption. </w:t>
      </w:r>
      <w:r w:rsidR="5B5F09C2">
        <w:t>Section 2</w:t>
      </w:r>
      <w:r w:rsidR="00EA3AEA">
        <w:t xml:space="preserve">.1 </w:t>
      </w:r>
      <w:r w:rsidR="588D1030">
        <w:t>displays the source energy savings for each measure in MM</w:t>
      </w:r>
      <w:r w:rsidR="0008474D">
        <w:t>B</w:t>
      </w:r>
      <w:r w:rsidR="588D1030">
        <w:t xml:space="preserve">TU and a “pass / fail” field which </w:t>
      </w:r>
      <w:r w:rsidR="386062FA">
        <w:t>di</w:t>
      </w:r>
      <w:r w:rsidR="54DB28D0">
        <w:t>s</w:t>
      </w:r>
      <w:r w:rsidR="386062FA">
        <w:t>plays the results of the first part of the fuel substitution test.</w:t>
      </w:r>
    </w:p>
    <w:p w14:paraId="3E25C474" w14:textId="3F971E78" w:rsidR="00894056" w:rsidRDefault="00894056"/>
    <w:p w14:paraId="05B29891" w14:textId="1743404C" w:rsidR="386062FA" w:rsidRPr="00EA3AEA" w:rsidRDefault="00EA3AEA">
      <w:pPr>
        <w:rPr>
          <w:rFonts w:eastAsiaTheme="majorEastAsia" w:cstheme="majorBidi"/>
          <w:color w:val="00516F" w:themeColor="accent1" w:themeShade="7F"/>
          <w:sz w:val="24"/>
          <w:szCs w:val="24"/>
        </w:rPr>
      </w:pPr>
      <w:r w:rsidRPr="00EA3AEA">
        <w:rPr>
          <w:rFonts w:eastAsiaTheme="majorEastAsia" w:cstheme="majorBidi"/>
          <w:color w:val="00516F" w:themeColor="accent1" w:themeShade="7F"/>
          <w:sz w:val="24"/>
          <w:szCs w:val="24"/>
        </w:rPr>
        <w:t xml:space="preserve">Section 2.1 </w:t>
      </w:r>
      <w:r w:rsidR="386062FA" w:rsidRPr="00EA3AEA">
        <w:rPr>
          <w:rFonts w:eastAsiaTheme="majorEastAsia" w:cstheme="majorBidi"/>
          <w:color w:val="00516F" w:themeColor="accent1" w:themeShade="7F"/>
          <w:sz w:val="24"/>
          <w:szCs w:val="24"/>
        </w:rPr>
        <w:t>S</w:t>
      </w:r>
      <w:r w:rsidR="54DB28D0" w:rsidRPr="00EA3AEA">
        <w:rPr>
          <w:rFonts w:eastAsiaTheme="majorEastAsia" w:cstheme="majorBidi"/>
          <w:color w:val="00516F" w:themeColor="accent1" w:themeShade="7F"/>
          <w:sz w:val="24"/>
          <w:szCs w:val="24"/>
        </w:rPr>
        <w:t>ource Energy Savings Calculations</w:t>
      </w:r>
    </w:p>
    <w:p w14:paraId="1E139684" w14:textId="64D708AA" w:rsidR="54DB28D0" w:rsidRDefault="54DB28D0"/>
    <w:p w14:paraId="5C121715" w14:textId="084E59B4" w:rsidR="00894056" w:rsidRPr="00E9435E" w:rsidRDefault="00894056" w:rsidP="00894056">
      <w:r>
        <w:t xml:space="preserve">Using the install year </w:t>
      </w:r>
      <w:r w:rsidRPr="00E9435E">
        <w:t>and apply</w:t>
      </w:r>
      <w:r>
        <w:t xml:space="preserve">ing </w:t>
      </w:r>
      <w:r w:rsidRPr="00E9435E">
        <w:t xml:space="preserve">the yearly source energy values (BTU/kWh and BTU/ </w:t>
      </w:r>
      <w:proofErr w:type="spellStart"/>
      <w:r w:rsidR="002A12B2">
        <w:t>Therm</w:t>
      </w:r>
      <w:proofErr w:type="spellEnd"/>
      <w:r w:rsidRPr="00E9435E">
        <w:t xml:space="preserve">) from Table1 and Table 2 </w:t>
      </w:r>
      <w:r>
        <w:t xml:space="preserve">(Section 2.3) </w:t>
      </w:r>
      <w:r w:rsidRPr="00E9435E">
        <w:t>over the measure’s EUL</w:t>
      </w:r>
      <w:r>
        <w:t>, the tool calculates the life</w:t>
      </w:r>
      <w:r w:rsidR="00BE6364">
        <w:t>-</w:t>
      </w:r>
      <w:r>
        <w:t xml:space="preserve">cycle source energy savings </w:t>
      </w:r>
      <w:r w:rsidRPr="00E9435E">
        <w:t>as shown in the equations below for Normal Replacement (NR) and Accelerated Replacement (AR)</w:t>
      </w:r>
    </w:p>
    <w:p w14:paraId="3D0C6509" w14:textId="77777777" w:rsidR="00894056" w:rsidRPr="00E9435E" w:rsidRDefault="00894056" w:rsidP="00894056"/>
    <w:p w14:paraId="1F8CCD08" w14:textId="77777777" w:rsidR="00894056" w:rsidRDefault="00894056" w:rsidP="00894056">
      <w:pPr>
        <w:rPr>
          <w:rFonts w:eastAsiaTheme="minorEastAsia"/>
        </w:rPr>
      </w:pPr>
    </w:p>
    <w:p w14:paraId="77A27FAC" w14:textId="77777777" w:rsidR="00894056" w:rsidRDefault="00894056" w:rsidP="00894056">
      <w:pPr>
        <w:rPr>
          <w:rFonts w:eastAsiaTheme="minorEastAsia"/>
        </w:rPr>
      </w:pPr>
    </w:p>
    <w:p w14:paraId="3008EC89" w14:textId="77777777" w:rsidR="00894056" w:rsidRDefault="00894056" w:rsidP="00894056">
      <w:pPr>
        <w:rPr>
          <w:rFonts w:eastAsiaTheme="minorEastAsia"/>
        </w:rPr>
      </w:pPr>
    </w:p>
    <w:p w14:paraId="616711C5" w14:textId="77777777" w:rsidR="00894056" w:rsidRDefault="00894056" w:rsidP="00894056">
      <w:pPr>
        <w:rPr>
          <w:rFonts w:eastAsiaTheme="minorEastAsia"/>
        </w:rPr>
      </w:pPr>
    </w:p>
    <w:p w14:paraId="4A218FC7" w14:textId="77777777" w:rsidR="00894056" w:rsidRDefault="00894056" w:rsidP="00894056">
      <w:pPr>
        <w:rPr>
          <w:rFonts w:eastAsiaTheme="minorEastAsia"/>
        </w:rPr>
      </w:pPr>
    </w:p>
    <w:p w14:paraId="04959DA3" w14:textId="77777777" w:rsidR="00894056" w:rsidRDefault="00894056" w:rsidP="00894056">
      <w:pPr>
        <w:rPr>
          <w:rFonts w:eastAsiaTheme="minorEastAsia"/>
        </w:rPr>
      </w:pPr>
    </w:p>
    <w:p w14:paraId="7ACD2F9B" w14:textId="77777777" w:rsidR="00894056" w:rsidRDefault="00894056" w:rsidP="00894056">
      <w:pPr>
        <w:rPr>
          <w:rFonts w:eastAsiaTheme="minorEastAsia"/>
        </w:rPr>
      </w:pPr>
    </w:p>
    <w:p w14:paraId="2CA852C2" w14:textId="77777777" w:rsidR="00894056" w:rsidRPr="00E9435E" w:rsidRDefault="00894056" w:rsidP="00894056">
      <w:pPr>
        <w:rPr>
          <w:rFonts w:eastAsiaTheme="minorEastAsia"/>
        </w:rPr>
      </w:pPr>
      <w:r w:rsidRPr="00E9435E">
        <w:rPr>
          <w:rFonts w:eastAsiaTheme="minorEastAsia"/>
        </w:rPr>
        <w:t xml:space="preserve">Equation 1: </w:t>
      </w:r>
    </w:p>
    <w:p w14:paraId="507BA348" w14:textId="77777777" w:rsidR="00894056" w:rsidRPr="00E9435E" w:rsidRDefault="00894056" w:rsidP="00894056"/>
    <w:p w14:paraId="3233F3F3" w14:textId="77777777" w:rsidR="00894056" w:rsidRPr="00E9435E" w:rsidRDefault="009D6009" w:rsidP="00894056">
      <w:pPr>
        <w:rPr>
          <w:rFonts w:eastAsiaTheme="minorEastAsia"/>
          <w:sz w:val="20"/>
        </w:rPr>
      </w:pPr>
      <m:oMathPara>
        <m:oMath>
          <m:sSub>
            <m:sSubPr>
              <m:ctrlPr>
                <w:rPr>
                  <w:rFonts w:ascii="Cambria Math" w:hAnsi="Cambria Math"/>
                  <w:i/>
                  <w:sz w:val="20"/>
                </w:rPr>
              </m:ctrlPr>
            </m:sSubPr>
            <m:e>
              <m:r>
                <w:rPr>
                  <w:rFonts w:ascii="Cambria Math" w:hAnsi="Cambria Math"/>
                  <w:sz w:val="20"/>
                </w:rPr>
                <m:t>Life-cycle source energy savings</m:t>
              </m:r>
            </m:e>
            <m:sub>
              <m:r>
                <w:rPr>
                  <w:rFonts w:ascii="Cambria Math" w:hAnsi="Cambria Math"/>
                  <w:sz w:val="20"/>
                </w:rPr>
                <m:t>NR</m:t>
              </m:r>
            </m:sub>
          </m:sSub>
          <m:r>
            <w:rPr>
              <w:rFonts w:ascii="Cambria Math" w:hAnsi="Cambria Math"/>
              <w:sz w:val="20"/>
            </w:rPr>
            <m:t xml:space="preserve"> [BTU]= </m:t>
          </m:r>
          <m:nary>
            <m:naryPr>
              <m:chr m:val="∑"/>
              <m:limLoc m:val="undOvr"/>
              <m:ctrlPr>
                <w:rPr>
                  <w:rFonts w:ascii="Cambria Math" w:hAnsi="Cambria Math"/>
                  <w:i/>
                  <w:sz w:val="18"/>
                </w:rPr>
              </m:ctrlPr>
            </m:naryPr>
            <m:sub>
              <m:r>
                <w:rPr>
                  <w:rFonts w:ascii="Cambria Math" w:hAnsi="Cambria Math"/>
                  <w:sz w:val="18"/>
                </w:rPr>
                <m:t>i=start year</m:t>
              </m:r>
            </m:sub>
            <m:sup>
              <m:r>
                <w:rPr>
                  <w:rFonts w:ascii="Cambria Math" w:hAnsi="Cambria Math"/>
                  <w:sz w:val="18"/>
                </w:rPr>
                <m:t>EUL+start year-1</m:t>
              </m:r>
            </m:sup>
            <m:e>
              <m:d>
                <m:dPr>
                  <m:ctrlPr>
                    <w:rPr>
                      <w:rFonts w:ascii="Cambria Math" w:hAnsi="Cambria Math"/>
                      <w:i/>
                      <w:sz w:val="18"/>
                    </w:rPr>
                  </m:ctrlPr>
                </m:dPr>
                <m:e>
                  <m:r>
                    <w:rPr>
                      <w:rFonts w:ascii="Cambria Math" w:hAnsi="Cambria Math"/>
                      <w:sz w:val="18"/>
                    </w:rPr>
                    <m:t xml:space="preserve">∆ kWh  X </m:t>
                  </m:r>
                  <m:sSub>
                    <m:sSubPr>
                      <m:ctrlPr>
                        <w:rPr>
                          <w:rFonts w:ascii="Cambria Math" w:hAnsi="Cambria Math"/>
                          <w:i/>
                          <w:sz w:val="18"/>
                        </w:rPr>
                      </m:ctrlPr>
                    </m:sSubPr>
                    <m:e>
                      <m:r>
                        <w:rPr>
                          <w:rFonts w:ascii="Cambria Math" w:hAnsi="Cambria Math"/>
                          <w:sz w:val="18"/>
                        </w:rPr>
                        <m:t>source energy</m:t>
                      </m:r>
                    </m:e>
                    <m:sub>
                      <m:r>
                        <w:rPr>
                          <w:rFonts w:ascii="Cambria Math" w:hAnsi="Cambria Math"/>
                          <w:sz w:val="18"/>
                        </w:rPr>
                        <m:t>i</m:t>
                      </m:r>
                    </m:sub>
                  </m:sSub>
                  <m:r>
                    <w:rPr>
                      <w:rFonts w:ascii="Cambria Math" w:hAnsi="Cambria Math"/>
                      <w:sz w:val="18"/>
                    </w:rPr>
                    <m:t xml:space="preserve"> [</m:t>
                  </m:r>
                  <m:f>
                    <m:fPr>
                      <m:ctrlPr>
                        <w:rPr>
                          <w:rFonts w:ascii="Cambria Math" w:hAnsi="Cambria Math"/>
                          <w:i/>
                          <w:sz w:val="18"/>
                        </w:rPr>
                      </m:ctrlPr>
                    </m:fPr>
                    <m:num>
                      <m:r>
                        <w:rPr>
                          <w:rFonts w:ascii="Cambria Math" w:hAnsi="Cambria Math"/>
                          <w:sz w:val="18"/>
                        </w:rPr>
                        <m:t>BTU</m:t>
                      </m:r>
                    </m:num>
                    <m:den>
                      <m:r>
                        <w:rPr>
                          <w:rFonts w:ascii="Cambria Math" w:hAnsi="Cambria Math"/>
                          <w:sz w:val="18"/>
                        </w:rPr>
                        <m:t>kWh</m:t>
                      </m:r>
                    </m:den>
                  </m:f>
                  <m:r>
                    <w:rPr>
                      <w:rFonts w:ascii="Cambria Math" w:hAnsi="Cambria Math"/>
                      <w:sz w:val="18"/>
                    </w:rPr>
                    <m:t>]</m:t>
                  </m:r>
                </m:e>
              </m:d>
            </m:e>
          </m:nary>
          <m:r>
            <w:rPr>
              <w:rFonts w:ascii="Cambria Math" w:hAnsi="Cambria Math"/>
              <w:sz w:val="20"/>
            </w:rPr>
            <m:t xml:space="preserve">+ </m:t>
          </m:r>
          <m:d>
            <m:dPr>
              <m:ctrlPr>
                <w:rPr>
                  <w:rFonts w:ascii="Cambria Math" w:hAnsi="Cambria Math"/>
                  <w:i/>
                  <w:sz w:val="20"/>
                </w:rPr>
              </m:ctrlPr>
            </m:dPr>
            <m:e>
              <m:r>
                <w:rPr>
                  <w:rFonts w:ascii="Cambria Math" w:hAnsi="Cambria Math"/>
                  <w:sz w:val="18"/>
                </w:rPr>
                <m:t xml:space="preserve">∆ </m:t>
              </m:r>
              <m:r>
                <w:rPr>
                  <w:rFonts w:ascii="Cambria Math" w:hAnsi="Cambria Math"/>
                  <w:sz w:val="20"/>
                </w:rPr>
                <m:t xml:space="preserve">Therms X source energy </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BTU</m:t>
                      </m:r>
                    </m:num>
                    <m:den>
                      <m:r>
                        <w:rPr>
                          <w:rFonts w:ascii="Cambria Math" w:hAnsi="Cambria Math"/>
                          <w:sz w:val="20"/>
                        </w:rPr>
                        <m:t>Therm</m:t>
                      </m:r>
                    </m:den>
                  </m:f>
                </m:e>
              </m:d>
              <m:r>
                <w:rPr>
                  <w:rFonts w:ascii="Cambria Math" w:hAnsi="Cambria Math"/>
                  <w:sz w:val="20"/>
                </w:rPr>
                <m:t xml:space="preserve"> X EUL </m:t>
              </m:r>
            </m:e>
          </m:d>
        </m:oMath>
      </m:oMathPara>
    </w:p>
    <w:p w14:paraId="0E226F3F" w14:textId="77777777" w:rsidR="00894056" w:rsidRDefault="00894056" w:rsidP="00894056">
      <w:pPr>
        <w:rPr>
          <w:rFonts w:eastAsiaTheme="minorEastAsia"/>
          <w:sz w:val="20"/>
        </w:rPr>
      </w:pPr>
    </w:p>
    <w:p w14:paraId="5A127FAE" w14:textId="77777777" w:rsidR="00894056" w:rsidRDefault="00894056" w:rsidP="00894056">
      <w:pPr>
        <w:rPr>
          <w:rFonts w:eastAsiaTheme="minorEastAsia"/>
        </w:rPr>
      </w:pPr>
    </w:p>
    <w:p w14:paraId="12B90E1B" w14:textId="77777777" w:rsidR="00894056" w:rsidRDefault="00894056" w:rsidP="00894056">
      <w:pPr>
        <w:rPr>
          <w:rFonts w:eastAsiaTheme="minorEastAsia"/>
        </w:rPr>
      </w:pPr>
    </w:p>
    <w:p w14:paraId="605ED7C1" w14:textId="77777777" w:rsidR="00894056" w:rsidRPr="00E9435E" w:rsidRDefault="00894056" w:rsidP="00894056">
      <w:pPr>
        <w:rPr>
          <w:rFonts w:eastAsiaTheme="minorEastAsia"/>
        </w:rPr>
      </w:pPr>
      <w:r w:rsidRPr="00E9435E">
        <w:rPr>
          <w:rFonts w:eastAsiaTheme="minorEastAsia"/>
        </w:rPr>
        <w:t xml:space="preserve">Equation 2: </w:t>
      </w:r>
    </w:p>
    <w:p w14:paraId="3187FEED" w14:textId="77777777" w:rsidR="00894056" w:rsidRPr="00E9435E" w:rsidRDefault="00894056" w:rsidP="00894056">
      <w:pPr>
        <w:rPr>
          <w:rFonts w:eastAsiaTheme="minorEastAsia"/>
        </w:rPr>
      </w:pPr>
    </w:p>
    <w:p w14:paraId="494B8E95" w14:textId="77777777" w:rsidR="00894056" w:rsidRPr="00E9435E" w:rsidRDefault="009D6009" w:rsidP="00894056">
      <w:pPr>
        <w:rPr>
          <w:rFonts w:eastAsiaTheme="minorEastAsia"/>
          <w:sz w:val="20"/>
        </w:rPr>
      </w:pPr>
      <m:oMathPara>
        <m:oMath>
          <m:sSub>
            <m:sSubPr>
              <m:ctrlPr>
                <w:rPr>
                  <w:rFonts w:ascii="Cambria Math" w:hAnsi="Cambria Math"/>
                  <w:i/>
                  <w:sz w:val="20"/>
                </w:rPr>
              </m:ctrlPr>
            </m:sSubPr>
            <m:e>
              <m:r>
                <w:rPr>
                  <w:rFonts w:ascii="Cambria Math" w:hAnsi="Cambria Math"/>
                  <w:sz w:val="20"/>
                </w:rPr>
                <m:t>Life-cycle source energy savings</m:t>
              </m:r>
            </m:e>
            <m:sub>
              <m:r>
                <w:rPr>
                  <w:rFonts w:ascii="Cambria Math" w:hAnsi="Cambria Math"/>
                  <w:sz w:val="20"/>
                </w:rPr>
                <m:t>AR</m:t>
              </m:r>
            </m:sub>
          </m:sSub>
          <m:r>
            <w:rPr>
              <w:rFonts w:ascii="Cambria Math" w:hAnsi="Cambria Math"/>
              <w:sz w:val="20"/>
            </w:rPr>
            <m:t xml:space="preserve"> </m:t>
          </m:r>
          <m:d>
            <m:dPr>
              <m:begChr m:val="["/>
              <m:endChr m:val="]"/>
              <m:ctrlPr>
                <w:rPr>
                  <w:rFonts w:ascii="Cambria Math" w:hAnsi="Cambria Math"/>
                  <w:i/>
                  <w:sz w:val="20"/>
                </w:rPr>
              </m:ctrlPr>
            </m:dPr>
            <m:e>
              <m:r>
                <w:rPr>
                  <w:rFonts w:ascii="Cambria Math" w:hAnsi="Cambria Math"/>
                  <w:sz w:val="20"/>
                </w:rPr>
                <m:t>BTU</m:t>
              </m:r>
            </m:e>
          </m:d>
          <m:r>
            <w:rPr>
              <w:rFonts w:ascii="Cambria Math" w:hAnsi="Cambria Math"/>
              <w:sz w:val="20"/>
            </w:rPr>
            <m:t xml:space="preserve">= </m:t>
          </m:r>
          <m:nary>
            <m:naryPr>
              <m:chr m:val="∑"/>
              <m:limLoc m:val="undOvr"/>
              <m:ctrlPr>
                <w:rPr>
                  <w:rFonts w:ascii="Cambria Math" w:hAnsi="Cambria Math"/>
                  <w:i/>
                  <w:sz w:val="18"/>
                </w:rPr>
              </m:ctrlPr>
            </m:naryPr>
            <m:sub>
              <m:r>
                <w:rPr>
                  <w:rFonts w:ascii="Cambria Math" w:hAnsi="Cambria Math"/>
                  <w:sz w:val="18"/>
                </w:rPr>
                <m:t>i=start year</m:t>
              </m:r>
            </m:sub>
            <m:sup>
              <m:r>
                <w:rPr>
                  <w:rFonts w:ascii="Cambria Math" w:hAnsi="Cambria Math"/>
                  <w:sz w:val="18"/>
                </w:rPr>
                <m:t>RUL+start year-1</m:t>
              </m:r>
            </m:sup>
            <m:e>
              <m:d>
                <m:dPr>
                  <m:ctrlPr>
                    <w:rPr>
                      <w:rFonts w:ascii="Cambria Math" w:hAnsi="Cambria Math"/>
                      <w:i/>
                      <w:sz w:val="18"/>
                    </w:rPr>
                  </m:ctrlPr>
                </m:dPr>
                <m:e>
                  <m:r>
                    <w:rPr>
                      <w:rFonts w:ascii="Cambria Math" w:hAnsi="Cambria Math"/>
                      <w:sz w:val="18"/>
                    </w:rPr>
                    <m:t xml:space="preserve"> </m:t>
                  </m:r>
                  <m:sSub>
                    <m:sSubPr>
                      <m:ctrlPr>
                        <w:rPr>
                          <w:rFonts w:ascii="Cambria Math" w:hAnsi="Cambria Math"/>
                          <w:i/>
                          <w:sz w:val="18"/>
                        </w:rPr>
                      </m:ctrlPr>
                    </m:sSubPr>
                    <m:e>
                      <m:r>
                        <w:rPr>
                          <w:rFonts w:ascii="Cambria Math" w:hAnsi="Cambria Math"/>
                          <w:sz w:val="18"/>
                        </w:rPr>
                        <m:t xml:space="preserve">∆ kWh </m:t>
                      </m:r>
                    </m:e>
                    <m:sub>
                      <m:r>
                        <w:rPr>
                          <w:rFonts w:ascii="Cambria Math" w:hAnsi="Cambria Math"/>
                          <w:sz w:val="18"/>
                        </w:rPr>
                        <m:t>1st baseline</m:t>
                      </m:r>
                    </m:sub>
                  </m:sSub>
                  <m:r>
                    <w:rPr>
                      <w:rFonts w:ascii="Cambria Math" w:hAnsi="Cambria Math"/>
                      <w:sz w:val="18"/>
                    </w:rPr>
                    <m:t xml:space="preserve"> X </m:t>
                  </m:r>
                  <m:sSub>
                    <m:sSubPr>
                      <m:ctrlPr>
                        <w:rPr>
                          <w:rFonts w:ascii="Cambria Math" w:hAnsi="Cambria Math"/>
                          <w:i/>
                          <w:sz w:val="18"/>
                        </w:rPr>
                      </m:ctrlPr>
                    </m:sSubPr>
                    <m:e>
                      <m:r>
                        <w:rPr>
                          <w:rFonts w:ascii="Cambria Math" w:hAnsi="Cambria Math"/>
                          <w:sz w:val="18"/>
                        </w:rPr>
                        <m:t>source energy</m:t>
                      </m:r>
                    </m:e>
                    <m:sub>
                      <m:r>
                        <w:rPr>
                          <w:rFonts w:ascii="Cambria Math" w:hAnsi="Cambria Math"/>
                          <w:sz w:val="18"/>
                        </w:rPr>
                        <m:t>i</m:t>
                      </m:r>
                    </m:sub>
                  </m:sSub>
                  <m:r>
                    <w:rPr>
                      <w:rFonts w:ascii="Cambria Math" w:hAnsi="Cambria Math"/>
                      <w:sz w:val="18"/>
                    </w:rPr>
                    <m:t xml:space="preserve"> </m:t>
                  </m:r>
                  <m:d>
                    <m:dPr>
                      <m:begChr m:val="["/>
                      <m:endChr m:val="]"/>
                      <m:ctrlPr>
                        <w:rPr>
                          <w:rFonts w:ascii="Cambria Math" w:hAnsi="Cambria Math"/>
                          <w:i/>
                          <w:sz w:val="18"/>
                        </w:rPr>
                      </m:ctrlPr>
                    </m:dPr>
                    <m:e>
                      <m:f>
                        <m:fPr>
                          <m:ctrlPr>
                            <w:rPr>
                              <w:rFonts w:ascii="Cambria Math" w:hAnsi="Cambria Math"/>
                              <w:i/>
                              <w:sz w:val="18"/>
                            </w:rPr>
                          </m:ctrlPr>
                        </m:fPr>
                        <m:num>
                          <m:r>
                            <w:rPr>
                              <w:rFonts w:ascii="Cambria Math" w:hAnsi="Cambria Math"/>
                              <w:sz w:val="18"/>
                            </w:rPr>
                            <m:t>BTU</m:t>
                          </m:r>
                        </m:num>
                        <m:den>
                          <m:r>
                            <w:rPr>
                              <w:rFonts w:ascii="Cambria Math" w:hAnsi="Cambria Math"/>
                              <w:sz w:val="18"/>
                            </w:rPr>
                            <m:t>kWh</m:t>
                          </m:r>
                        </m:den>
                      </m:f>
                    </m:e>
                  </m:d>
                </m:e>
              </m:d>
            </m:e>
          </m:nary>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18"/>
                    </w:rPr>
                  </m:ctrlPr>
                </m:sSubPr>
                <m:e>
                  <m:r>
                    <w:rPr>
                      <w:rFonts w:ascii="Cambria Math" w:hAnsi="Cambria Math"/>
                      <w:sz w:val="18"/>
                    </w:rPr>
                    <m:t xml:space="preserve">∆ </m:t>
                  </m:r>
                  <m:r>
                    <w:rPr>
                      <w:rFonts w:ascii="Cambria Math" w:hAnsi="Cambria Math"/>
                      <w:sz w:val="20"/>
                    </w:rPr>
                    <m:t>Therms</m:t>
                  </m:r>
                </m:e>
                <m:sub>
                  <m:r>
                    <w:rPr>
                      <w:rFonts w:ascii="Cambria Math" w:hAnsi="Cambria Math"/>
                      <w:sz w:val="18"/>
                    </w:rPr>
                    <m:t>1st baseline</m:t>
                  </m:r>
                </m:sub>
              </m:sSub>
              <m:r>
                <w:rPr>
                  <w:rFonts w:ascii="Cambria Math" w:hAnsi="Cambria Math"/>
                  <w:sz w:val="20"/>
                </w:rPr>
                <m:t xml:space="preserve"> X source energy </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BTU</m:t>
                      </m:r>
                    </m:num>
                    <m:den>
                      <m:r>
                        <w:rPr>
                          <w:rFonts w:ascii="Cambria Math" w:hAnsi="Cambria Math"/>
                          <w:sz w:val="20"/>
                        </w:rPr>
                        <m:t>Therm</m:t>
                      </m:r>
                    </m:den>
                  </m:f>
                </m:e>
              </m:d>
              <m:r>
                <w:rPr>
                  <w:rFonts w:ascii="Cambria Math" w:hAnsi="Cambria Math"/>
                  <w:sz w:val="20"/>
                </w:rPr>
                <m:t xml:space="preserve">X RUL </m:t>
              </m:r>
            </m:e>
          </m:d>
          <m:r>
            <w:rPr>
              <w:rFonts w:ascii="Cambria Math" w:hAnsi="Cambria Math"/>
              <w:sz w:val="20"/>
            </w:rPr>
            <m:t>+</m:t>
          </m:r>
          <m:nary>
            <m:naryPr>
              <m:chr m:val="∑"/>
              <m:limLoc m:val="undOvr"/>
              <m:ctrlPr>
                <w:rPr>
                  <w:rFonts w:ascii="Cambria Math" w:hAnsi="Cambria Math"/>
                  <w:i/>
                  <w:sz w:val="18"/>
                </w:rPr>
              </m:ctrlPr>
            </m:naryPr>
            <m:sub>
              <m:r>
                <w:rPr>
                  <w:rFonts w:ascii="Cambria Math" w:hAnsi="Cambria Math"/>
                  <w:sz w:val="18"/>
                </w:rPr>
                <m:t>i=RUL+start year</m:t>
              </m:r>
            </m:sub>
            <m:sup>
              <m:r>
                <w:rPr>
                  <w:rFonts w:ascii="Cambria Math" w:hAnsi="Cambria Math"/>
                  <w:sz w:val="18"/>
                </w:rPr>
                <m:t>EUL+start year-1</m:t>
              </m:r>
            </m:sup>
            <m:e>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 xml:space="preserve">∆ kWh </m:t>
                      </m:r>
                    </m:e>
                    <m:sub>
                      <m:r>
                        <w:rPr>
                          <w:rFonts w:ascii="Cambria Math" w:hAnsi="Cambria Math"/>
                          <w:sz w:val="18"/>
                        </w:rPr>
                        <m:t>2nd baseline</m:t>
                      </m:r>
                    </m:sub>
                  </m:sSub>
                  <m:r>
                    <w:rPr>
                      <w:rFonts w:ascii="Cambria Math" w:hAnsi="Cambria Math"/>
                      <w:sz w:val="18"/>
                    </w:rPr>
                    <m:t xml:space="preserve"> X</m:t>
                  </m:r>
                  <m:sSub>
                    <m:sSubPr>
                      <m:ctrlPr>
                        <w:rPr>
                          <w:rFonts w:ascii="Cambria Math" w:hAnsi="Cambria Math"/>
                          <w:i/>
                          <w:sz w:val="18"/>
                        </w:rPr>
                      </m:ctrlPr>
                    </m:sSubPr>
                    <m:e>
                      <m:r>
                        <w:rPr>
                          <w:rFonts w:ascii="Cambria Math" w:hAnsi="Cambria Math"/>
                          <w:sz w:val="18"/>
                        </w:rPr>
                        <m:t xml:space="preserve"> source energy</m:t>
                      </m:r>
                    </m:e>
                    <m:sub>
                      <m:r>
                        <w:rPr>
                          <w:rFonts w:ascii="Cambria Math" w:hAnsi="Cambria Math"/>
                          <w:sz w:val="18"/>
                        </w:rPr>
                        <m:t>i</m:t>
                      </m:r>
                    </m:sub>
                  </m:sSub>
                  <m:d>
                    <m:dPr>
                      <m:begChr m:val="["/>
                      <m:endChr m:val="]"/>
                      <m:ctrlPr>
                        <w:rPr>
                          <w:rFonts w:ascii="Cambria Math" w:hAnsi="Cambria Math"/>
                          <w:i/>
                          <w:sz w:val="18"/>
                        </w:rPr>
                      </m:ctrlPr>
                    </m:dPr>
                    <m:e>
                      <m:f>
                        <m:fPr>
                          <m:ctrlPr>
                            <w:rPr>
                              <w:rFonts w:ascii="Cambria Math" w:hAnsi="Cambria Math"/>
                              <w:i/>
                              <w:sz w:val="18"/>
                            </w:rPr>
                          </m:ctrlPr>
                        </m:fPr>
                        <m:num>
                          <m:r>
                            <w:rPr>
                              <w:rFonts w:ascii="Cambria Math" w:hAnsi="Cambria Math"/>
                              <w:sz w:val="18"/>
                            </w:rPr>
                            <m:t>BTU</m:t>
                          </m:r>
                        </m:num>
                        <m:den>
                          <m:r>
                            <w:rPr>
                              <w:rFonts w:ascii="Cambria Math" w:hAnsi="Cambria Math"/>
                              <w:sz w:val="18"/>
                            </w:rPr>
                            <m:t>kWh</m:t>
                          </m:r>
                        </m:den>
                      </m:f>
                    </m:e>
                  </m:d>
                </m:e>
              </m:d>
            </m:e>
          </m:nary>
          <m:r>
            <w:rPr>
              <w:rFonts w:ascii="Cambria Math" w:hAnsi="Cambria Math"/>
              <w:sz w:val="20"/>
            </w:rPr>
            <m:t>+</m:t>
          </m:r>
          <m:d>
            <m:dPr>
              <m:ctrlPr>
                <w:rPr>
                  <w:rFonts w:ascii="Cambria Math" w:hAnsi="Cambria Math"/>
                  <w:i/>
                  <w:sz w:val="20"/>
                </w:rPr>
              </m:ctrlPr>
            </m:dPr>
            <m:e>
              <m:sSub>
                <m:sSubPr>
                  <m:ctrlPr>
                    <w:rPr>
                      <w:rFonts w:ascii="Cambria Math" w:hAnsi="Cambria Math"/>
                      <w:i/>
                      <w:sz w:val="18"/>
                    </w:rPr>
                  </m:ctrlPr>
                </m:sSubPr>
                <m:e>
                  <m:r>
                    <w:rPr>
                      <w:rFonts w:ascii="Cambria Math" w:hAnsi="Cambria Math"/>
                      <w:sz w:val="18"/>
                    </w:rPr>
                    <m:t xml:space="preserve">∆ </m:t>
                  </m:r>
                  <m:r>
                    <w:rPr>
                      <w:rFonts w:ascii="Cambria Math" w:hAnsi="Cambria Math"/>
                      <w:sz w:val="20"/>
                    </w:rPr>
                    <m:t>Therms</m:t>
                  </m:r>
                </m:e>
                <m:sub>
                  <m:r>
                    <w:rPr>
                      <w:rFonts w:ascii="Cambria Math" w:hAnsi="Cambria Math"/>
                      <w:sz w:val="18"/>
                    </w:rPr>
                    <m:t>2nd baseline</m:t>
                  </m:r>
                </m:sub>
              </m:sSub>
              <m:r>
                <w:rPr>
                  <w:rFonts w:ascii="Cambria Math" w:hAnsi="Cambria Math"/>
                  <w:sz w:val="20"/>
                </w:rPr>
                <m:t xml:space="preserve"> X source energy</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BTU</m:t>
                      </m:r>
                    </m:num>
                    <m:den>
                      <m:r>
                        <w:rPr>
                          <w:rFonts w:ascii="Cambria Math" w:hAnsi="Cambria Math"/>
                          <w:sz w:val="20"/>
                        </w:rPr>
                        <m:t>Therm</m:t>
                      </m:r>
                    </m:den>
                  </m:f>
                </m:e>
              </m:d>
              <m:r>
                <w:rPr>
                  <w:rFonts w:ascii="Cambria Math" w:hAnsi="Cambria Math"/>
                  <w:sz w:val="20"/>
                </w:rPr>
                <m:t xml:space="preserve">X (EUL-RUL) </m:t>
              </m:r>
            </m:e>
          </m:d>
        </m:oMath>
      </m:oMathPara>
    </w:p>
    <w:p w14:paraId="72A9C4B7" w14:textId="77777777" w:rsidR="00894056" w:rsidRPr="00E9435E" w:rsidRDefault="00894056" w:rsidP="00894056">
      <w:pPr>
        <w:rPr>
          <w:rFonts w:eastAsiaTheme="minorEastAsia"/>
          <w:sz w:val="20"/>
        </w:rPr>
      </w:pPr>
    </w:p>
    <w:p w14:paraId="75EC9178" w14:textId="77777777" w:rsidR="00894056" w:rsidRDefault="00894056" w:rsidP="00894056"/>
    <w:p w14:paraId="0F95A581" w14:textId="77777777" w:rsidR="00894056" w:rsidRDefault="00894056" w:rsidP="00894056"/>
    <w:p w14:paraId="7AFAF18B" w14:textId="77777777" w:rsidR="00894056" w:rsidRDefault="00894056" w:rsidP="00894056">
      <w:r>
        <w:lastRenderedPageBreak/>
        <w:t>Where:</w:t>
      </w:r>
    </w:p>
    <w:p w14:paraId="08115DBB" w14:textId="77777777" w:rsidR="00894056" w:rsidRDefault="00894056" w:rsidP="00894056"/>
    <w:p w14:paraId="1D4588B5" w14:textId="77777777" w:rsidR="00894056" w:rsidRDefault="009D6009" w:rsidP="00894056">
      <w:pPr>
        <w:rPr>
          <w:rFonts w:eastAsiaTheme="minorEastAsia"/>
          <w:sz w:val="20"/>
        </w:rPr>
      </w:pPr>
      <m:oMath>
        <m:sSub>
          <m:sSubPr>
            <m:ctrlPr>
              <w:rPr>
                <w:rFonts w:ascii="Cambria Math" w:hAnsi="Cambria Math"/>
                <w:i/>
                <w:sz w:val="20"/>
              </w:rPr>
            </m:ctrlPr>
          </m:sSubPr>
          <m:e>
            <m:r>
              <w:rPr>
                <w:rFonts w:ascii="Cambria Math" w:hAnsi="Cambria Math"/>
                <w:sz w:val="20"/>
              </w:rPr>
              <m:t>Life-cycle source energy savings</m:t>
            </m:r>
          </m:e>
          <m:sub>
            <m:r>
              <w:rPr>
                <w:rFonts w:ascii="Cambria Math" w:hAnsi="Cambria Math"/>
                <w:sz w:val="20"/>
              </w:rPr>
              <m:t>NR</m:t>
            </m:r>
          </m:sub>
        </m:sSub>
        <m:r>
          <w:rPr>
            <w:rFonts w:ascii="Cambria Math" w:hAnsi="Cambria Math"/>
            <w:sz w:val="20"/>
          </w:rPr>
          <m:t xml:space="preserve"> [BTU]</m:t>
        </m:r>
      </m:oMath>
      <w:r w:rsidR="00894056">
        <w:rPr>
          <w:rFonts w:eastAsiaTheme="minorEastAsia"/>
          <w:sz w:val="20"/>
        </w:rPr>
        <w:t xml:space="preserve"> = </w:t>
      </w:r>
      <w:r w:rsidR="00894056" w:rsidRPr="002E524A">
        <w:t xml:space="preserve">Source energy savings for Normal Replacement </w:t>
      </w:r>
      <w:r w:rsidR="00894056">
        <w:t xml:space="preserve">(NR) </w:t>
      </w:r>
      <w:r w:rsidR="00894056" w:rsidRPr="002E524A">
        <w:t>Measure application type over the life of the measure.</w:t>
      </w:r>
      <w:r w:rsidR="00894056">
        <w:rPr>
          <w:rFonts w:eastAsiaTheme="minorEastAsia"/>
          <w:sz w:val="20"/>
        </w:rPr>
        <w:t xml:space="preserve"> </w:t>
      </w:r>
    </w:p>
    <w:p w14:paraId="0F9A3CF5" w14:textId="77777777" w:rsidR="00894056" w:rsidRDefault="00894056" w:rsidP="00894056">
      <w:pPr>
        <w:rPr>
          <w:rFonts w:eastAsiaTheme="minorEastAsia"/>
          <w:sz w:val="20"/>
        </w:rPr>
      </w:pPr>
    </w:p>
    <w:p w14:paraId="2B213522" w14:textId="77777777" w:rsidR="00894056" w:rsidRDefault="00894056" w:rsidP="00894056">
      <w:pPr>
        <w:rPr>
          <w:rFonts w:eastAsiaTheme="minorEastAsia"/>
          <w:sz w:val="18"/>
        </w:rPr>
      </w:pPr>
      <m:oMath>
        <m:r>
          <w:rPr>
            <w:rFonts w:ascii="Cambria Math" w:hAnsi="Cambria Math"/>
            <w:sz w:val="18"/>
          </w:rPr>
          <m:t>start year</m:t>
        </m:r>
      </m:oMath>
      <w:r>
        <w:rPr>
          <w:rFonts w:eastAsiaTheme="minorEastAsia"/>
          <w:sz w:val="18"/>
        </w:rPr>
        <w:t xml:space="preserve"> = </w:t>
      </w:r>
      <w:r w:rsidRPr="0080183D">
        <w:t xml:space="preserve">The year when the measure will </w:t>
      </w:r>
      <w:r>
        <w:t>go into</w:t>
      </w:r>
      <w:r w:rsidRPr="0080183D">
        <w:t xml:space="preserve"> operational.</w:t>
      </w:r>
      <w:r>
        <w:rPr>
          <w:rFonts w:eastAsiaTheme="minorEastAsia"/>
          <w:sz w:val="18"/>
        </w:rPr>
        <w:t xml:space="preserve"> </w:t>
      </w:r>
    </w:p>
    <w:p w14:paraId="340020AF" w14:textId="77777777" w:rsidR="00894056" w:rsidRDefault="00894056" w:rsidP="00894056">
      <w:pPr>
        <w:rPr>
          <w:rFonts w:eastAsiaTheme="minorEastAsia"/>
          <w:sz w:val="18"/>
        </w:rPr>
      </w:pPr>
    </w:p>
    <w:p w14:paraId="03F2B06C" w14:textId="77777777" w:rsidR="00894056" w:rsidRDefault="00894056" w:rsidP="00894056">
      <w:pPr>
        <w:rPr>
          <w:rFonts w:eastAsiaTheme="minorEastAsia"/>
          <w:sz w:val="20"/>
        </w:rPr>
      </w:pPr>
      <m:oMath>
        <m:r>
          <w:rPr>
            <w:rFonts w:ascii="Cambria Math" w:hAnsi="Cambria Math"/>
            <w:sz w:val="20"/>
          </w:rPr>
          <m:t>EUL</m:t>
        </m:r>
      </m:oMath>
      <w:r>
        <w:rPr>
          <w:rFonts w:eastAsiaTheme="minorEastAsia"/>
          <w:sz w:val="20"/>
        </w:rPr>
        <w:t xml:space="preserve"> = </w:t>
      </w:r>
      <w:r w:rsidRPr="00A83C44">
        <w:t>Effective Useful Life</w:t>
      </w:r>
      <w:r>
        <w:rPr>
          <w:rFonts w:eastAsiaTheme="minorEastAsia"/>
          <w:sz w:val="20"/>
        </w:rPr>
        <w:t xml:space="preserve"> </w:t>
      </w:r>
      <w:r w:rsidRPr="0017213F">
        <w:t>of the measure</w:t>
      </w:r>
    </w:p>
    <w:p w14:paraId="1066C05B" w14:textId="77777777" w:rsidR="00894056" w:rsidRDefault="00894056" w:rsidP="00894056">
      <w:pPr>
        <w:rPr>
          <w:rFonts w:eastAsiaTheme="minorEastAsia"/>
          <w:sz w:val="20"/>
        </w:rPr>
      </w:pPr>
    </w:p>
    <w:p w14:paraId="50EE2179" w14:textId="77777777" w:rsidR="00894056" w:rsidRDefault="00894056" w:rsidP="00894056">
      <w:pPr>
        <w:rPr>
          <w:rFonts w:eastAsiaTheme="minorEastAsia"/>
          <w:sz w:val="18"/>
        </w:rPr>
      </w:pPr>
      <m:oMath>
        <m:r>
          <w:rPr>
            <w:rFonts w:ascii="Cambria Math" w:hAnsi="Cambria Math"/>
            <w:sz w:val="18"/>
          </w:rPr>
          <m:t xml:space="preserve">∆ kWh </m:t>
        </m:r>
      </m:oMath>
      <w:r>
        <w:rPr>
          <w:rFonts w:eastAsiaTheme="minorEastAsia"/>
          <w:sz w:val="18"/>
        </w:rPr>
        <w:t xml:space="preserve">= </w:t>
      </w:r>
      <w:r w:rsidRPr="008B40F6">
        <w:t>Baseline kWh</w:t>
      </w:r>
      <w:r>
        <w:t>/year</w:t>
      </w:r>
      <w:r w:rsidRPr="008B40F6">
        <w:t xml:space="preserve"> – Measure kWh</w:t>
      </w:r>
      <w:r>
        <w:t>/year</w:t>
      </w:r>
      <w:r w:rsidRPr="008B40F6">
        <w:t xml:space="preserve"> in the </w:t>
      </w:r>
      <w:r w:rsidRPr="001754F3">
        <w:t xml:space="preserve">1st year. Negative value for increase and positive value for decrease in </w:t>
      </w:r>
      <w:r>
        <w:t>electricity</w:t>
      </w:r>
      <w:r w:rsidRPr="001754F3">
        <w:t xml:space="preserve"> usage from fuel substitution measure</w:t>
      </w:r>
      <w:r>
        <w:rPr>
          <w:rFonts w:eastAsiaTheme="minorEastAsia"/>
          <w:sz w:val="18"/>
        </w:rPr>
        <w:t xml:space="preserve"> </w:t>
      </w:r>
    </w:p>
    <w:p w14:paraId="5A87048F" w14:textId="77777777" w:rsidR="00894056" w:rsidRDefault="00894056" w:rsidP="00894056">
      <w:pPr>
        <w:rPr>
          <w:rFonts w:eastAsiaTheme="minorEastAsia"/>
          <w:sz w:val="18"/>
        </w:rPr>
      </w:pPr>
    </w:p>
    <w:p w14:paraId="08C6C77B" w14:textId="77777777" w:rsidR="00894056" w:rsidRDefault="009D6009" w:rsidP="00894056">
      <m:oMath>
        <m:sSub>
          <m:sSubPr>
            <m:ctrlPr>
              <w:rPr>
                <w:rFonts w:ascii="Cambria Math" w:hAnsi="Cambria Math"/>
                <w:i/>
                <w:sz w:val="18"/>
              </w:rPr>
            </m:ctrlPr>
          </m:sSubPr>
          <m:e>
            <m:r>
              <w:rPr>
                <w:rFonts w:ascii="Cambria Math" w:hAnsi="Cambria Math"/>
                <w:sz w:val="18"/>
              </w:rPr>
              <m:t>source energy</m:t>
            </m:r>
          </m:e>
          <m:sub>
            <m:r>
              <w:rPr>
                <w:rFonts w:ascii="Cambria Math" w:hAnsi="Cambria Math"/>
                <w:sz w:val="18"/>
              </w:rPr>
              <m:t>i</m:t>
            </m:r>
          </m:sub>
        </m:sSub>
        <m:r>
          <w:rPr>
            <w:rFonts w:ascii="Cambria Math" w:hAnsi="Cambria Math"/>
            <w:sz w:val="18"/>
          </w:rPr>
          <m:t xml:space="preserve"> </m:t>
        </m:r>
        <m:d>
          <m:dPr>
            <m:begChr m:val="["/>
            <m:endChr m:val="]"/>
            <m:ctrlPr>
              <w:rPr>
                <w:rFonts w:ascii="Cambria Math" w:hAnsi="Cambria Math"/>
                <w:i/>
                <w:sz w:val="18"/>
              </w:rPr>
            </m:ctrlPr>
          </m:dPr>
          <m:e>
            <m:f>
              <m:fPr>
                <m:ctrlPr>
                  <w:rPr>
                    <w:rFonts w:ascii="Cambria Math" w:hAnsi="Cambria Math"/>
                    <w:i/>
                    <w:sz w:val="18"/>
                  </w:rPr>
                </m:ctrlPr>
              </m:fPr>
              <m:num>
                <m:r>
                  <w:rPr>
                    <w:rFonts w:ascii="Cambria Math" w:hAnsi="Cambria Math"/>
                    <w:sz w:val="18"/>
                  </w:rPr>
                  <m:t>BTU</m:t>
                </m:r>
              </m:num>
              <m:den>
                <m:r>
                  <w:rPr>
                    <w:rFonts w:ascii="Cambria Math" w:hAnsi="Cambria Math"/>
                    <w:sz w:val="18"/>
                  </w:rPr>
                  <m:t>kWh</m:t>
                </m:r>
              </m:den>
            </m:f>
          </m:e>
        </m:d>
      </m:oMath>
      <w:r w:rsidR="00894056">
        <w:rPr>
          <w:rFonts w:eastAsiaTheme="minorEastAsia"/>
          <w:sz w:val="18"/>
        </w:rPr>
        <w:t xml:space="preserve"> = </w:t>
      </w:r>
      <w:r w:rsidR="00894056" w:rsidRPr="001754F3">
        <w:t xml:space="preserve">Yearly source energy values in Table 1 for electricity </w:t>
      </w:r>
    </w:p>
    <w:p w14:paraId="4CDF71E1" w14:textId="77777777" w:rsidR="00894056" w:rsidRPr="001754F3" w:rsidRDefault="00894056" w:rsidP="00894056"/>
    <w:p w14:paraId="3320A76C" w14:textId="2BB4D48D" w:rsidR="00894056" w:rsidRDefault="00894056" w:rsidP="00894056">
      <w:pPr>
        <w:rPr>
          <w:rFonts w:eastAsiaTheme="minorEastAsia"/>
          <w:sz w:val="18"/>
        </w:rPr>
      </w:pPr>
      <m:oMath>
        <m:r>
          <w:rPr>
            <w:rFonts w:ascii="Cambria Math" w:hAnsi="Cambria Math"/>
            <w:sz w:val="18"/>
          </w:rPr>
          <m:t xml:space="preserve">∆ </m:t>
        </m:r>
        <m:r>
          <w:rPr>
            <w:rFonts w:ascii="Cambria Math" w:hAnsi="Cambria Math"/>
            <w:sz w:val="20"/>
          </w:rPr>
          <m:t>Therms</m:t>
        </m:r>
      </m:oMath>
      <w:r>
        <w:rPr>
          <w:rFonts w:eastAsiaTheme="minorEastAsia"/>
          <w:sz w:val="20"/>
        </w:rPr>
        <w:t xml:space="preserve"> = </w:t>
      </w:r>
      <w:r w:rsidRPr="007F4F16">
        <w:t xml:space="preserve">Baseline </w:t>
      </w:r>
      <w:proofErr w:type="spellStart"/>
      <w:r w:rsidR="002A12B2">
        <w:t>Therm</w:t>
      </w:r>
      <w:proofErr w:type="spellEnd"/>
      <w:r>
        <w:t>/year</w:t>
      </w:r>
      <w:r w:rsidRPr="007F4F16">
        <w:t xml:space="preserve"> – Measure </w:t>
      </w:r>
      <w:proofErr w:type="spellStart"/>
      <w:r w:rsidR="002A12B2">
        <w:t>Therm</w:t>
      </w:r>
      <w:proofErr w:type="spellEnd"/>
      <w:r>
        <w:t>/year</w:t>
      </w:r>
      <w:r w:rsidRPr="007F4F16">
        <w:t xml:space="preserve"> in the 1st year.</w:t>
      </w:r>
      <w:r w:rsidRPr="001754F3">
        <w:t xml:space="preserve"> Negative value for increase and positive value for decrease in </w:t>
      </w:r>
      <w:r>
        <w:t xml:space="preserve">natural gas </w:t>
      </w:r>
      <w:r w:rsidRPr="001754F3">
        <w:t>usage from fuel substitution measure</w:t>
      </w:r>
    </w:p>
    <w:p w14:paraId="06C3962E" w14:textId="77777777" w:rsidR="00894056" w:rsidRDefault="00894056" w:rsidP="00894056">
      <w:pPr>
        <w:rPr>
          <w:rFonts w:eastAsiaTheme="minorEastAsia"/>
          <w:sz w:val="18"/>
        </w:rPr>
      </w:pPr>
    </w:p>
    <w:p w14:paraId="1865222E" w14:textId="77777777" w:rsidR="00894056" w:rsidRDefault="00894056" w:rsidP="00894056">
      <w:pPr>
        <w:rPr>
          <w:rFonts w:eastAsiaTheme="minorEastAsia"/>
          <w:sz w:val="20"/>
        </w:rPr>
      </w:pPr>
      <m:oMath>
        <m:r>
          <w:rPr>
            <w:rFonts w:ascii="Cambria Math" w:hAnsi="Cambria Math"/>
            <w:sz w:val="20"/>
          </w:rPr>
          <m:t xml:space="preserve">source energy </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BTU</m:t>
                </m:r>
              </m:num>
              <m:den>
                <m:r>
                  <w:rPr>
                    <w:rFonts w:ascii="Cambria Math" w:hAnsi="Cambria Math"/>
                    <w:sz w:val="20"/>
                  </w:rPr>
                  <m:t>Therm</m:t>
                </m:r>
              </m:den>
            </m:f>
          </m:e>
        </m:d>
      </m:oMath>
      <w:r>
        <w:rPr>
          <w:rFonts w:eastAsiaTheme="minorEastAsia"/>
          <w:sz w:val="20"/>
        </w:rPr>
        <w:t xml:space="preserve"> = </w:t>
      </w:r>
      <w:r w:rsidRPr="00A84F52">
        <w:t>Source energy value for natural gas in Table 2</w:t>
      </w:r>
    </w:p>
    <w:p w14:paraId="7ADCEC6A" w14:textId="77777777" w:rsidR="00894056" w:rsidRDefault="00894056" w:rsidP="00894056">
      <w:pPr>
        <w:rPr>
          <w:rFonts w:eastAsiaTheme="minorEastAsia"/>
          <w:sz w:val="20"/>
        </w:rPr>
      </w:pPr>
    </w:p>
    <w:p w14:paraId="08669712" w14:textId="77777777" w:rsidR="00894056" w:rsidRDefault="009D6009" w:rsidP="00894056">
      <w:pPr>
        <w:rPr>
          <w:rFonts w:eastAsiaTheme="minorEastAsia"/>
          <w:sz w:val="20"/>
        </w:rPr>
      </w:pPr>
      <m:oMath>
        <m:sSub>
          <m:sSubPr>
            <m:ctrlPr>
              <w:rPr>
                <w:rFonts w:ascii="Cambria Math" w:hAnsi="Cambria Math"/>
                <w:i/>
                <w:sz w:val="20"/>
              </w:rPr>
            </m:ctrlPr>
          </m:sSubPr>
          <m:e>
            <m:r>
              <w:rPr>
                <w:rFonts w:ascii="Cambria Math" w:hAnsi="Cambria Math"/>
                <w:sz w:val="20"/>
              </w:rPr>
              <m:t>Life-cycle source energy savings</m:t>
            </m:r>
          </m:e>
          <m:sub>
            <m:r>
              <w:rPr>
                <w:rFonts w:ascii="Cambria Math" w:hAnsi="Cambria Math"/>
                <w:sz w:val="20"/>
              </w:rPr>
              <m:t>AR</m:t>
            </m:r>
          </m:sub>
        </m:sSub>
        <m:r>
          <w:rPr>
            <w:rFonts w:ascii="Cambria Math" w:hAnsi="Cambria Math"/>
            <w:sz w:val="20"/>
          </w:rPr>
          <m:t xml:space="preserve"> [BTU]</m:t>
        </m:r>
      </m:oMath>
      <w:r w:rsidR="00894056">
        <w:rPr>
          <w:rFonts w:eastAsiaTheme="minorEastAsia"/>
          <w:sz w:val="20"/>
        </w:rPr>
        <w:t xml:space="preserve"> = </w:t>
      </w:r>
      <w:r w:rsidR="00894056" w:rsidRPr="00A83C44">
        <w:t xml:space="preserve">Source energy savings for </w:t>
      </w:r>
      <w:r w:rsidR="00894056">
        <w:t>Accelerated</w:t>
      </w:r>
      <w:r w:rsidR="00894056" w:rsidRPr="00A83C44">
        <w:t xml:space="preserve"> Replacement </w:t>
      </w:r>
      <w:r w:rsidR="00894056">
        <w:t xml:space="preserve">(AR) </w:t>
      </w:r>
      <w:r w:rsidR="00894056" w:rsidRPr="00A83C44">
        <w:t>Measure application type over the life of the measure.</w:t>
      </w:r>
      <w:r w:rsidR="00894056">
        <w:rPr>
          <w:rFonts w:eastAsiaTheme="minorEastAsia"/>
          <w:sz w:val="20"/>
        </w:rPr>
        <w:t xml:space="preserve"> </w:t>
      </w:r>
    </w:p>
    <w:p w14:paraId="62BE4B0E" w14:textId="77777777" w:rsidR="00894056" w:rsidRDefault="00894056" w:rsidP="00894056">
      <w:pPr>
        <w:rPr>
          <w:rFonts w:eastAsiaTheme="minorEastAsia"/>
          <w:sz w:val="20"/>
        </w:rPr>
      </w:pPr>
    </w:p>
    <w:p w14:paraId="395236CC" w14:textId="77777777" w:rsidR="00894056" w:rsidRDefault="00894056" w:rsidP="00894056">
      <w:pPr>
        <w:rPr>
          <w:rFonts w:eastAsiaTheme="minorEastAsia"/>
          <w:sz w:val="20"/>
        </w:rPr>
      </w:pPr>
      <m:oMath>
        <m:r>
          <w:rPr>
            <w:rFonts w:ascii="Cambria Math" w:hAnsi="Cambria Math"/>
            <w:sz w:val="20"/>
          </w:rPr>
          <m:t>RUL</m:t>
        </m:r>
      </m:oMath>
      <w:r>
        <w:rPr>
          <w:rFonts w:eastAsiaTheme="minorEastAsia"/>
          <w:sz w:val="20"/>
        </w:rPr>
        <w:t xml:space="preserve"> = </w:t>
      </w:r>
      <w:r>
        <w:t>Remaining</w:t>
      </w:r>
      <w:r w:rsidRPr="00A83C44">
        <w:t xml:space="preserve"> Useful Life</w:t>
      </w:r>
      <w:r>
        <w:rPr>
          <w:rFonts w:eastAsiaTheme="minorEastAsia"/>
          <w:sz w:val="20"/>
        </w:rPr>
        <w:t xml:space="preserve"> </w:t>
      </w:r>
      <w:r w:rsidRPr="00A83C44">
        <w:t>of the measure</w:t>
      </w:r>
    </w:p>
    <w:p w14:paraId="220CFA5E" w14:textId="77777777" w:rsidR="00894056" w:rsidRDefault="00894056" w:rsidP="00894056">
      <w:pPr>
        <w:rPr>
          <w:rFonts w:eastAsiaTheme="minorEastAsia"/>
          <w:sz w:val="20"/>
        </w:rPr>
      </w:pPr>
    </w:p>
    <w:p w14:paraId="66ED9BD9" w14:textId="77777777" w:rsidR="00894056" w:rsidRPr="006B0DA7" w:rsidRDefault="009D6009" w:rsidP="00894056">
      <m:oMath>
        <m:sSub>
          <m:sSubPr>
            <m:ctrlPr>
              <w:rPr>
                <w:rFonts w:ascii="Cambria Math" w:hAnsi="Cambria Math"/>
                <w:i/>
                <w:sz w:val="18"/>
              </w:rPr>
            </m:ctrlPr>
          </m:sSubPr>
          <m:e>
            <m:r>
              <w:rPr>
                <w:rFonts w:ascii="Cambria Math" w:hAnsi="Cambria Math"/>
                <w:sz w:val="18"/>
              </w:rPr>
              <m:t>∆ kWh</m:t>
            </m:r>
          </m:e>
          <m:sub>
            <m:r>
              <w:rPr>
                <w:rFonts w:ascii="Cambria Math" w:hAnsi="Cambria Math"/>
                <w:sz w:val="18"/>
              </w:rPr>
              <m:t>1st baseline</m:t>
            </m:r>
          </m:sub>
        </m:sSub>
      </m:oMath>
      <w:r w:rsidR="00894056">
        <w:rPr>
          <w:rFonts w:eastAsiaTheme="minorEastAsia"/>
          <w:sz w:val="18"/>
        </w:rPr>
        <w:t xml:space="preserve"> = </w:t>
      </w:r>
      <m:oMath>
        <m:r>
          <w:rPr>
            <w:rFonts w:ascii="Cambria Math" w:hAnsi="Cambria Math"/>
            <w:sz w:val="18"/>
          </w:rPr>
          <m:t xml:space="preserve">∆ kWh </m:t>
        </m:r>
      </m:oMath>
      <w:r w:rsidR="00894056" w:rsidRPr="006B0DA7">
        <w:t>over the existing baseline</w:t>
      </w:r>
    </w:p>
    <w:p w14:paraId="4480BA69" w14:textId="77777777" w:rsidR="00894056" w:rsidRDefault="00894056" w:rsidP="00894056">
      <w:pPr>
        <w:rPr>
          <w:rFonts w:eastAsiaTheme="minorEastAsia"/>
          <w:sz w:val="18"/>
        </w:rPr>
      </w:pPr>
    </w:p>
    <w:p w14:paraId="197C1B2C" w14:textId="77777777" w:rsidR="00894056" w:rsidRPr="006B0DA7" w:rsidRDefault="009D6009" w:rsidP="00894056">
      <m:oMath>
        <m:sSub>
          <m:sSubPr>
            <m:ctrlPr>
              <w:rPr>
                <w:rFonts w:ascii="Cambria Math" w:hAnsi="Cambria Math"/>
                <w:i/>
                <w:sz w:val="18"/>
              </w:rPr>
            </m:ctrlPr>
          </m:sSubPr>
          <m:e>
            <m:r>
              <w:rPr>
                <w:rFonts w:ascii="Cambria Math" w:hAnsi="Cambria Math"/>
                <w:sz w:val="18"/>
              </w:rPr>
              <m:t xml:space="preserve">∆ </m:t>
            </m:r>
            <m:r>
              <w:rPr>
                <w:rFonts w:ascii="Cambria Math" w:hAnsi="Cambria Math"/>
                <w:sz w:val="20"/>
              </w:rPr>
              <m:t>Therms</m:t>
            </m:r>
          </m:e>
          <m:sub>
            <m:r>
              <w:rPr>
                <w:rFonts w:ascii="Cambria Math" w:hAnsi="Cambria Math"/>
                <w:sz w:val="18"/>
              </w:rPr>
              <m:t>1st baseline</m:t>
            </m:r>
          </m:sub>
        </m:sSub>
      </m:oMath>
      <w:r w:rsidR="00894056">
        <w:rPr>
          <w:rFonts w:eastAsiaTheme="minorEastAsia"/>
          <w:sz w:val="18"/>
        </w:rPr>
        <w:t xml:space="preserve"> = </w:t>
      </w:r>
      <m:oMath>
        <m:r>
          <w:rPr>
            <w:rFonts w:ascii="Cambria Math" w:hAnsi="Cambria Math"/>
            <w:sz w:val="18"/>
          </w:rPr>
          <m:t xml:space="preserve">∆ </m:t>
        </m:r>
        <m:r>
          <w:rPr>
            <w:rFonts w:ascii="Cambria Math" w:hAnsi="Cambria Math"/>
            <w:sz w:val="20"/>
          </w:rPr>
          <m:t>Therms</m:t>
        </m:r>
      </m:oMath>
      <w:r w:rsidR="00894056" w:rsidRPr="00566039">
        <w:t xml:space="preserve"> </w:t>
      </w:r>
      <w:r w:rsidR="00894056" w:rsidRPr="006B0DA7">
        <w:t>over the existing baseline</w:t>
      </w:r>
    </w:p>
    <w:p w14:paraId="492B3655" w14:textId="77777777" w:rsidR="00894056" w:rsidRPr="001754F3" w:rsidRDefault="00894056" w:rsidP="00894056">
      <w:pPr>
        <w:rPr>
          <w:rFonts w:eastAsiaTheme="minorEastAsia"/>
          <w:sz w:val="20"/>
        </w:rPr>
      </w:pPr>
    </w:p>
    <w:p w14:paraId="19D0426F" w14:textId="77777777" w:rsidR="00894056" w:rsidRDefault="009D6009" w:rsidP="00894056">
      <m:oMath>
        <m:sSub>
          <m:sSubPr>
            <m:ctrlPr>
              <w:rPr>
                <w:rFonts w:ascii="Cambria Math" w:hAnsi="Cambria Math"/>
                <w:i/>
                <w:sz w:val="18"/>
              </w:rPr>
            </m:ctrlPr>
          </m:sSubPr>
          <m:e>
            <m:r>
              <w:rPr>
                <w:rFonts w:ascii="Cambria Math" w:hAnsi="Cambria Math"/>
                <w:sz w:val="18"/>
              </w:rPr>
              <m:t>∆ kWh</m:t>
            </m:r>
          </m:e>
          <m:sub>
            <m:r>
              <w:rPr>
                <w:rFonts w:ascii="Cambria Math" w:hAnsi="Cambria Math"/>
                <w:sz w:val="18"/>
              </w:rPr>
              <m:t>2nd baseline</m:t>
            </m:r>
          </m:sub>
        </m:sSub>
      </m:oMath>
      <w:r w:rsidR="00894056">
        <w:rPr>
          <w:rFonts w:eastAsiaTheme="minorEastAsia"/>
          <w:sz w:val="18"/>
        </w:rPr>
        <w:t xml:space="preserve"> = </w:t>
      </w:r>
      <m:oMath>
        <m:r>
          <w:rPr>
            <w:rFonts w:ascii="Cambria Math" w:hAnsi="Cambria Math"/>
            <w:sz w:val="18"/>
          </w:rPr>
          <m:t xml:space="preserve">∆ kWh </m:t>
        </m:r>
      </m:oMath>
      <w:r w:rsidR="00894056">
        <w:t xml:space="preserve">over </w:t>
      </w:r>
      <w:r w:rsidR="00894056" w:rsidRPr="006B0DA7">
        <w:t>code</w:t>
      </w:r>
      <w:r w:rsidR="00894056">
        <w:t>/ISP</w:t>
      </w:r>
      <w:r w:rsidR="00894056" w:rsidRPr="006B0DA7">
        <w:t xml:space="preserve"> </w:t>
      </w:r>
      <w:r w:rsidR="00894056">
        <w:t>baseline</w:t>
      </w:r>
    </w:p>
    <w:p w14:paraId="659150D9" w14:textId="77777777" w:rsidR="00894056" w:rsidRDefault="00894056" w:rsidP="00894056">
      <w:pPr>
        <w:rPr>
          <w:rFonts w:eastAsiaTheme="minorEastAsia"/>
          <w:sz w:val="18"/>
        </w:rPr>
      </w:pPr>
    </w:p>
    <w:p w14:paraId="12D77B56" w14:textId="77777777" w:rsidR="00894056" w:rsidRPr="00B738F7" w:rsidRDefault="009D6009" w:rsidP="00894056">
      <m:oMath>
        <m:sSub>
          <m:sSubPr>
            <m:ctrlPr>
              <w:rPr>
                <w:rFonts w:ascii="Cambria Math" w:hAnsi="Cambria Math"/>
                <w:i/>
                <w:sz w:val="18"/>
              </w:rPr>
            </m:ctrlPr>
          </m:sSubPr>
          <m:e>
            <m:r>
              <w:rPr>
                <w:rFonts w:ascii="Cambria Math" w:hAnsi="Cambria Math"/>
                <w:sz w:val="18"/>
              </w:rPr>
              <m:t xml:space="preserve">∆ </m:t>
            </m:r>
            <m:r>
              <w:rPr>
                <w:rFonts w:ascii="Cambria Math" w:hAnsi="Cambria Math"/>
                <w:sz w:val="20"/>
              </w:rPr>
              <m:t>Therms</m:t>
            </m:r>
          </m:e>
          <m:sub>
            <m:r>
              <w:rPr>
                <w:rFonts w:ascii="Cambria Math" w:hAnsi="Cambria Math"/>
                <w:sz w:val="18"/>
              </w:rPr>
              <m:t>2nd baseline</m:t>
            </m:r>
          </m:sub>
        </m:sSub>
      </m:oMath>
      <w:r w:rsidR="00894056">
        <w:rPr>
          <w:rFonts w:eastAsiaTheme="minorEastAsia"/>
          <w:sz w:val="18"/>
        </w:rPr>
        <w:t xml:space="preserve"> = </w:t>
      </w:r>
      <m:oMath>
        <m:r>
          <w:rPr>
            <w:rFonts w:ascii="Cambria Math" w:hAnsi="Cambria Math"/>
            <w:sz w:val="18"/>
          </w:rPr>
          <m:t xml:space="preserve">∆ </m:t>
        </m:r>
        <m:r>
          <w:rPr>
            <w:rFonts w:ascii="Cambria Math" w:hAnsi="Cambria Math"/>
            <w:sz w:val="20"/>
          </w:rPr>
          <m:t>Therms</m:t>
        </m:r>
      </m:oMath>
      <w:r w:rsidR="00894056" w:rsidRPr="00566039">
        <w:t xml:space="preserve"> </w:t>
      </w:r>
      <w:r w:rsidR="00894056">
        <w:t xml:space="preserve">over </w:t>
      </w:r>
      <w:r w:rsidR="00894056" w:rsidRPr="006B0DA7">
        <w:t>code</w:t>
      </w:r>
      <w:r w:rsidR="00894056">
        <w:t>/ISP</w:t>
      </w:r>
      <w:r w:rsidR="00894056" w:rsidRPr="006B0DA7">
        <w:t xml:space="preserve"> </w:t>
      </w:r>
      <w:r w:rsidR="00894056">
        <w:t>baseline</w:t>
      </w:r>
    </w:p>
    <w:p w14:paraId="6FA3584C" w14:textId="77777777" w:rsidR="00894056" w:rsidRDefault="00894056" w:rsidP="00894056"/>
    <w:p w14:paraId="687F5571" w14:textId="77777777" w:rsidR="00894056" w:rsidRDefault="00894056" w:rsidP="00894056">
      <w:r w:rsidRPr="00E9435E">
        <w:t xml:space="preserve">The units for the values are included with-in </w:t>
      </w:r>
      <w:proofErr w:type="gramStart"/>
      <w:r w:rsidRPr="00E9435E">
        <w:t>[ ]</w:t>
      </w:r>
      <w:proofErr w:type="gramEnd"/>
      <w:r w:rsidRPr="00E9435E">
        <w:t xml:space="preserve">. </w:t>
      </w:r>
    </w:p>
    <w:p w14:paraId="77FDB760" w14:textId="77777777" w:rsidR="00894056" w:rsidRPr="00E9435E" w:rsidRDefault="00894056" w:rsidP="00894056"/>
    <w:p w14:paraId="5B70CA38" w14:textId="77777777" w:rsidR="00894056" w:rsidRDefault="00894056" w:rsidP="00894056">
      <w:r w:rsidRPr="00E9435E">
        <w:t xml:space="preserve">As with energy efficiency measures, the EUL and RUL values corresponds to the measure technology for the fuel substitution measures.  </w:t>
      </w:r>
    </w:p>
    <w:p w14:paraId="110AB95D" w14:textId="77777777" w:rsidR="00894056" w:rsidRDefault="00894056" w:rsidP="00894056"/>
    <w:p w14:paraId="4FB12431" w14:textId="30896556" w:rsidR="00894056" w:rsidRPr="00EA3AEA" w:rsidRDefault="40C143E9" w:rsidP="00EA3AEA">
      <w:pPr>
        <w:rPr>
          <w:rFonts w:eastAsiaTheme="majorEastAsia" w:cstheme="majorBidi"/>
          <w:color w:val="00516F" w:themeColor="accent1" w:themeShade="7F"/>
          <w:sz w:val="24"/>
          <w:szCs w:val="24"/>
        </w:rPr>
      </w:pPr>
      <w:bookmarkStart w:id="91" w:name="_Toc20421933"/>
      <w:bookmarkStart w:id="92" w:name="_Toc20421961"/>
      <w:bookmarkStart w:id="93" w:name="_Toc20421934"/>
      <w:bookmarkStart w:id="94" w:name="_Toc20421962"/>
      <w:bookmarkEnd w:id="91"/>
      <w:bookmarkEnd w:id="92"/>
      <w:bookmarkEnd w:id="93"/>
      <w:bookmarkEnd w:id="94"/>
      <w:r w:rsidRPr="00EA3AEA">
        <w:rPr>
          <w:rFonts w:eastAsiaTheme="majorEastAsia" w:cstheme="majorBidi"/>
          <w:color w:val="00516F" w:themeColor="accent1" w:themeShade="7F"/>
          <w:sz w:val="24"/>
          <w:szCs w:val="24"/>
        </w:rPr>
        <w:t>Section 2</w:t>
      </w:r>
      <w:r w:rsidR="00EA3AEA">
        <w:rPr>
          <w:rFonts w:eastAsiaTheme="majorEastAsia" w:cstheme="majorBidi"/>
          <w:color w:val="00516F" w:themeColor="accent1" w:themeShade="7F"/>
          <w:sz w:val="24"/>
          <w:szCs w:val="24"/>
        </w:rPr>
        <w:t>.2</w:t>
      </w:r>
      <w:r w:rsidRPr="00EA3AEA">
        <w:rPr>
          <w:rFonts w:eastAsiaTheme="majorEastAsia" w:cstheme="majorBidi"/>
          <w:color w:val="00516F" w:themeColor="accent1" w:themeShade="7F"/>
          <w:sz w:val="24"/>
          <w:szCs w:val="24"/>
        </w:rPr>
        <w:t xml:space="preserve">: </w:t>
      </w:r>
      <w:r w:rsidR="00894056" w:rsidRPr="00EA3AEA">
        <w:rPr>
          <w:rFonts w:eastAsiaTheme="majorEastAsia" w:cstheme="majorBidi"/>
          <w:color w:val="00516F" w:themeColor="accent1" w:themeShade="7F"/>
          <w:sz w:val="24"/>
          <w:szCs w:val="24"/>
        </w:rPr>
        <w:t>CO2 Emission Savings</w:t>
      </w:r>
    </w:p>
    <w:p w14:paraId="487751F5" w14:textId="4CFFD8AF" w:rsidR="58292F68" w:rsidRDefault="58292F68"/>
    <w:p w14:paraId="65412B67" w14:textId="238A4CCF" w:rsidR="58292F68" w:rsidRDefault="58292F68">
      <w:r w:rsidRPr="58292F68">
        <w:t xml:space="preserve">Using the same user entries, the fuel substitution calculator calculates </w:t>
      </w:r>
      <w:r w:rsidR="00881CC9">
        <w:t>life-cycle</w:t>
      </w:r>
      <w:r w:rsidR="0C5CC137" w:rsidRPr="0C5CC137">
        <w:t xml:space="preserve"> emissions savings (metric tCO2) in </w:t>
      </w:r>
      <w:r w:rsidR="0008474D">
        <w:t>S</w:t>
      </w:r>
      <w:r w:rsidR="0C5CC137" w:rsidRPr="0C5CC137">
        <w:t>ection 2</w:t>
      </w:r>
      <w:r w:rsidR="00EA3AEA">
        <w:t>.2</w:t>
      </w:r>
      <w:r w:rsidR="0C5CC137" w:rsidRPr="0C5CC137">
        <w:t xml:space="preserve">. Section </w:t>
      </w:r>
      <w:r w:rsidR="4D31C7B8" w:rsidRPr="4D31C7B8">
        <w:t>2</w:t>
      </w:r>
      <w:r w:rsidR="00EA3AEA">
        <w:t>.2</w:t>
      </w:r>
      <w:r w:rsidR="4D31C7B8" w:rsidRPr="4D31C7B8">
        <w:t xml:space="preserve"> also states whether a measure passed or failed the section part of the fuel substi</w:t>
      </w:r>
      <w:r w:rsidR="7C5B3593" w:rsidRPr="4D31C7B8">
        <w:t>tuti</w:t>
      </w:r>
      <w:r w:rsidR="4D31C7B8" w:rsidRPr="4D31C7B8">
        <w:t xml:space="preserve">on test. </w:t>
      </w:r>
    </w:p>
    <w:p w14:paraId="75CC6756" w14:textId="4EDE53C1" w:rsidR="58292F68" w:rsidRPr="00D10656" w:rsidRDefault="58292F68">
      <w:pPr>
        <w:rPr>
          <w:b/>
          <w:bCs/>
        </w:rPr>
      </w:pPr>
    </w:p>
    <w:p w14:paraId="076D58A7" w14:textId="514CAFBE" w:rsidR="00894056" w:rsidRDefault="00894056">
      <w:r w:rsidRPr="35E1D8A7">
        <w:t xml:space="preserve">Like the source energy savings calculations, applying the yearly emission intensity values (metric </w:t>
      </w:r>
      <w:proofErr w:type="spellStart"/>
      <w:r w:rsidRPr="35E1D8A7">
        <w:t>tonnes</w:t>
      </w:r>
      <w:proofErr w:type="spellEnd"/>
      <w:r w:rsidRPr="35E1D8A7">
        <w:t xml:space="preserve"> of CO2</w:t>
      </w:r>
      <w:r w:rsidRPr="00D10656">
        <w:t xml:space="preserve">/ MWh and </w:t>
      </w:r>
      <w:r w:rsidRPr="35E1D8A7">
        <w:t xml:space="preserve">metric </w:t>
      </w:r>
      <w:proofErr w:type="spellStart"/>
      <w:r w:rsidRPr="35E1D8A7">
        <w:t>tonnes</w:t>
      </w:r>
      <w:proofErr w:type="spellEnd"/>
      <w:r w:rsidRPr="35E1D8A7">
        <w:t xml:space="preserve"> of CO2</w:t>
      </w:r>
      <w:r w:rsidR="35E1D8A7" w:rsidRPr="3FBED579">
        <w:t xml:space="preserve">/ </w:t>
      </w:r>
      <w:proofErr w:type="spellStart"/>
      <w:r w:rsidRPr="35E1D8A7">
        <w:t>therm</w:t>
      </w:r>
      <w:proofErr w:type="spellEnd"/>
      <w:r w:rsidRPr="35E1D8A7">
        <w:t>) from Table 1 and Table 2</w:t>
      </w:r>
      <w:r w:rsidRPr="00D10656">
        <w:t xml:space="preserve"> (section</w:t>
      </w:r>
      <w:r w:rsidRPr="3FBED579">
        <w:t xml:space="preserve"> </w:t>
      </w:r>
      <w:r w:rsidRPr="35E1D8A7">
        <w:t xml:space="preserve">2.3) over the measure’s EUL, the life CO2 emissions savings are calculated using the equations below. </w:t>
      </w:r>
    </w:p>
    <w:p w14:paraId="08EEAA0E" w14:textId="77777777" w:rsidR="00894056" w:rsidRDefault="00894056" w:rsidP="00894056"/>
    <w:p w14:paraId="46FE9515" w14:textId="77777777" w:rsidR="00894056" w:rsidRPr="00E9435E" w:rsidRDefault="00894056" w:rsidP="00894056">
      <w:pPr>
        <w:rPr>
          <w:rFonts w:eastAsiaTheme="minorEastAsia"/>
        </w:rPr>
      </w:pPr>
      <w:r w:rsidRPr="00E9435E">
        <w:rPr>
          <w:rFonts w:eastAsiaTheme="minorEastAsia"/>
        </w:rPr>
        <w:t xml:space="preserve">Equation 3: </w:t>
      </w:r>
    </w:p>
    <w:p w14:paraId="2FAA10BC" w14:textId="77777777" w:rsidR="00894056" w:rsidRPr="00E9435E" w:rsidRDefault="00894056" w:rsidP="00894056">
      <w:r w:rsidRPr="00E9435E">
        <w:t xml:space="preserve">  </w:t>
      </w:r>
    </w:p>
    <w:p w14:paraId="2A50C86D" w14:textId="77777777" w:rsidR="00894056" w:rsidRPr="00E9435E" w:rsidRDefault="009D6009" w:rsidP="00894056">
      <w:pPr>
        <w:rPr>
          <w:rFonts w:eastAsiaTheme="minorEastAsia"/>
          <w:sz w:val="20"/>
        </w:rPr>
      </w:pPr>
      <m:oMathPara>
        <m:oMath>
          <m:sSub>
            <m:sSubPr>
              <m:ctrlPr>
                <w:rPr>
                  <w:rFonts w:ascii="Cambria Math" w:hAnsi="Cambria Math"/>
                  <w:i/>
                  <w:sz w:val="20"/>
                </w:rPr>
              </m:ctrlPr>
            </m:sSubPr>
            <m:e>
              <m:r>
                <w:rPr>
                  <w:rFonts w:ascii="Cambria Math" w:hAnsi="Cambria Math"/>
                  <w:sz w:val="20"/>
                </w:rPr>
                <m:t xml:space="preserve">Life-cycle </m:t>
              </m:r>
              <m:sSub>
                <m:sSubPr>
                  <m:ctrlPr>
                    <w:rPr>
                      <w:rFonts w:ascii="Cambria Math" w:hAnsi="Cambria Math"/>
                      <w:i/>
                      <w:sz w:val="20"/>
                    </w:rPr>
                  </m:ctrlPr>
                </m:sSubPr>
                <m:e>
                  <m:r>
                    <w:rPr>
                      <w:rFonts w:ascii="Cambria Math" w:hAnsi="Cambria Math"/>
                      <w:sz w:val="20"/>
                    </w:rPr>
                    <m:t>CO</m:t>
                  </m:r>
                </m:e>
                <m:sub>
                  <m:r>
                    <w:rPr>
                      <w:rFonts w:ascii="Cambria Math" w:hAnsi="Cambria Math"/>
                      <w:sz w:val="20"/>
                    </w:rPr>
                    <m:t>2</m:t>
                  </m:r>
                </m:sub>
              </m:sSub>
              <m:r>
                <w:rPr>
                  <w:rFonts w:ascii="Cambria Math" w:hAnsi="Cambria Math"/>
                  <w:sz w:val="20"/>
                </w:rPr>
                <m:t xml:space="preserve"> savings</m:t>
              </m:r>
            </m:e>
            <m:sub>
              <m:r>
                <w:rPr>
                  <w:rFonts w:ascii="Cambria Math" w:hAnsi="Cambria Math"/>
                  <w:sz w:val="20"/>
                </w:rPr>
                <m:t>NR</m:t>
              </m:r>
            </m:sub>
          </m:sSub>
          <m:r>
            <w:rPr>
              <w:rFonts w:ascii="Cambria Math" w:hAnsi="Cambria Math"/>
              <w:sz w:val="20"/>
            </w:rPr>
            <m:t xml:space="preserve"> [metric tonnes]= </m:t>
          </m:r>
          <m:nary>
            <m:naryPr>
              <m:chr m:val="∑"/>
              <m:limLoc m:val="undOvr"/>
              <m:ctrlPr>
                <w:rPr>
                  <w:rFonts w:ascii="Cambria Math" w:hAnsi="Cambria Math"/>
                  <w:i/>
                  <w:sz w:val="18"/>
                </w:rPr>
              </m:ctrlPr>
            </m:naryPr>
            <m:sub>
              <m:r>
                <w:rPr>
                  <w:rFonts w:ascii="Cambria Math" w:hAnsi="Cambria Math"/>
                  <w:sz w:val="18"/>
                </w:rPr>
                <m:t>i=start year</m:t>
              </m:r>
            </m:sub>
            <m:sup>
              <m:r>
                <w:rPr>
                  <w:rFonts w:ascii="Cambria Math" w:hAnsi="Cambria Math"/>
                  <w:sz w:val="18"/>
                </w:rPr>
                <m:t>EUL+start year-1</m:t>
              </m:r>
            </m:sup>
            <m:e>
              <m:d>
                <m:dPr>
                  <m:ctrlPr>
                    <w:rPr>
                      <w:rFonts w:ascii="Cambria Math" w:hAnsi="Cambria Math"/>
                      <w:i/>
                      <w:sz w:val="18"/>
                    </w:rPr>
                  </m:ctrlPr>
                </m:dPr>
                <m:e>
                  <m:r>
                    <w:rPr>
                      <w:rFonts w:ascii="Cambria Math" w:hAnsi="Cambria Math"/>
                      <w:sz w:val="18"/>
                    </w:rPr>
                    <m:t xml:space="preserve">∆MWh  X </m:t>
                  </m:r>
                  <m:sSub>
                    <m:sSubPr>
                      <m:ctrlPr>
                        <w:rPr>
                          <w:rFonts w:ascii="Cambria Math" w:hAnsi="Cambria Math"/>
                          <w:i/>
                          <w:sz w:val="18"/>
                        </w:rPr>
                      </m:ctrlPr>
                    </m:sSubPr>
                    <m:e>
                      <m:r>
                        <w:rPr>
                          <w:rFonts w:ascii="Cambria Math" w:hAnsi="Cambria Math"/>
                          <w:sz w:val="18"/>
                        </w:rPr>
                        <m:t xml:space="preserve">EI </m:t>
                      </m:r>
                    </m:e>
                    <m:sub>
                      <m:r>
                        <w:rPr>
                          <w:rFonts w:ascii="Cambria Math" w:hAnsi="Cambria Math"/>
                          <w:sz w:val="18"/>
                        </w:rPr>
                        <m:t>i</m:t>
                      </m:r>
                    </m:sub>
                  </m:sSub>
                  <m:r>
                    <w:rPr>
                      <w:rFonts w:ascii="Cambria Math" w:hAnsi="Cambria Math"/>
                      <w:sz w:val="18"/>
                    </w:rPr>
                    <m:t xml:space="preserve"> [</m:t>
                  </m:r>
                  <m:f>
                    <m:fPr>
                      <m:ctrlPr>
                        <w:rPr>
                          <w:rFonts w:ascii="Cambria Math" w:hAnsi="Cambria Math"/>
                          <w:i/>
                          <w:sz w:val="18"/>
                        </w:rPr>
                      </m:ctrlPr>
                    </m:fPr>
                    <m:num>
                      <m:r>
                        <w:rPr>
                          <w:rFonts w:ascii="Cambria Math" w:hAnsi="Cambria Math"/>
                          <w:sz w:val="20"/>
                        </w:rPr>
                        <m:t>metric tonnes</m:t>
                      </m:r>
                    </m:num>
                    <m:den>
                      <m:r>
                        <w:rPr>
                          <w:rFonts w:ascii="Cambria Math" w:hAnsi="Cambria Math"/>
                          <w:sz w:val="18"/>
                        </w:rPr>
                        <m:t>MWh</m:t>
                      </m:r>
                    </m:den>
                  </m:f>
                  <m:r>
                    <w:rPr>
                      <w:rFonts w:ascii="Cambria Math" w:hAnsi="Cambria Math"/>
                      <w:sz w:val="18"/>
                    </w:rPr>
                    <m:t>]</m:t>
                  </m:r>
                </m:e>
              </m:d>
            </m:e>
          </m:nary>
          <m:r>
            <w:rPr>
              <w:rFonts w:ascii="Cambria Math" w:hAnsi="Cambria Math"/>
              <w:sz w:val="20"/>
            </w:rPr>
            <m:t xml:space="preserve">+ </m:t>
          </m:r>
          <m:d>
            <m:dPr>
              <m:ctrlPr>
                <w:rPr>
                  <w:rFonts w:ascii="Cambria Math" w:hAnsi="Cambria Math"/>
                  <w:i/>
                  <w:sz w:val="20"/>
                </w:rPr>
              </m:ctrlPr>
            </m:dPr>
            <m:e>
              <m:r>
                <w:rPr>
                  <w:rFonts w:ascii="Cambria Math" w:hAnsi="Cambria Math"/>
                  <w:sz w:val="18"/>
                </w:rPr>
                <m:t xml:space="preserve">∆ </m:t>
              </m:r>
              <m:r>
                <w:rPr>
                  <w:rFonts w:ascii="Cambria Math" w:hAnsi="Cambria Math"/>
                  <w:sz w:val="20"/>
                </w:rPr>
                <m:t xml:space="preserve">Therms X </m:t>
              </m:r>
              <m:r>
                <w:rPr>
                  <w:rFonts w:ascii="Cambria Math" w:hAnsi="Cambria Math"/>
                  <w:sz w:val="18"/>
                </w:rPr>
                <m:t>EI</m:t>
              </m:r>
              <m:r>
                <w:rPr>
                  <w:rFonts w:ascii="Cambria Math" w:hAnsi="Cambria Math"/>
                  <w:sz w:val="20"/>
                </w:rPr>
                <m:t xml:space="preserve"> </m:t>
              </m:r>
              <m:d>
                <m:dPr>
                  <m:begChr m:val="["/>
                  <m:endChr m:val="]"/>
                  <m:ctrlPr>
                    <w:rPr>
                      <w:rFonts w:ascii="Cambria Math" w:hAnsi="Cambria Math"/>
                      <w:i/>
                      <w:sz w:val="20"/>
                    </w:rPr>
                  </m:ctrlPr>
                </m:dPr>
                <m:e>
                  <m:f>
                    <m:fPr>
                      <m:ctrlPr>
                        <w:rPr>
                          <w:rFonts w:ascii="Cambria Math" w:hAnsi="Cambria Math"/>
                          <w:i/>
                          <w:sz w:val="18"/>
                        </w:rPr>
                      </m:ctrlPr>
                    </m:fPr>
                    <m:num>
                      <m:r>
                        <w:rPr>
                          <w:rFonts w:ascii="Cambria Math" w:hAnsi="Cambria Math"/>
                          <w:sz w:val="20"/>
                        </w:rPr>
                        <m:t>metric tonnes</m:t>
                      </m:r>
                    </m:num>
                    <m:den>
                      <m:r>
                        <w:rPr>
                          <w:rFonts w:ascii="Cambria Math" w:hAnsi="Cambria Math"/>
                          <w:sz w:val="18"/>
                        </w:rPr>
                        <m:t>Therm</m:t>
                      </m:r>
                    </m:den>
                  </m:f>
                </m:e>
              </m:d>
              <m:r>
                <w:rPr>
                  <w:rFonts w:ascii="Cambria Math" w:hAnsi="Cambria Math"/>
                  <w:sz w:val="20"/>
                </w:rPr>
                <m:t xml:space="preserve"> X EUL </m:t>
              </m:r>
            </m:e>
          </m:d>
        </m:oMath>
      </m:oMathPara>
    </w:p>
    <w:p w14:paraId="7825C60D" w14:textId="77777777" w:rsidR="00894056" w:rsidRPr="00E9435E" w:rsidRDefault="00894056" w:rsidP="00894056">
      <w:pPr>
        <w:rPr>
          <w:rFonts w:eastAsiaTheme="minorEastAsia"/>
          <w:sz w:val="20"/>
        </w:rPr>
      </w:pPr>
    </w:p>
    <w:p w14:paraId="5C2BD35D" w14:textId="77777777" w:rsidR="00894056" w:rsidRPr="00E9435E" w:rsidRDefault="00894056" w:rsidP="00894056">
      <w:pPr>
        <w:rPr>
          <w:rFonts w:eastAsiaTheme="minorEastAsia"/>
        </w:rPr>
      </w:pPr>
      <w:r w:rsidRPr="00E9435E">
        <w:rPr>
          <w:rFonts w:eastAsiaTheme="minorEastAsia"/>
        </w:rPr>
        <w:t xml:space="preserve">Equation 4: </w:t>
      </w:r>
    </w:p>
    <w:p w14:paraId="18586D55" w14:textId="77777777" w:rsidR="00894056" w:rsidRPr="00E9435E" w:rsidRDefault="00894056" w:rsidP="00894056">
      <w:pPr>
        <w:rPr>
          <w:rFonts w:eastAsiaTheme="minorEastAsia"/>
        </w:rPr>
      </w:pPr>
    </w:p>
    <w:p w14:paraId="1367017D" w14:textId="77777777" w:rsidR="00894056" w:rsidRPr="00367466" w:rsidRDefault="009D6009" w:rsidP="00894056">
      <w:pPr>
        <w:rPr>
          <w:rFonts w:eastAsiaTheme="minorEastAsia"/>
          <w:sz w:val="20"/>
        </w:rPr>
      </w:pPr>
      <m:oMathPara>
        <m:oMath>
          <m:sSub>
            <m:sSubPr>
              <m:ctrlPr>
                <w:rPr>
                  <w:rFonts w:ascii="Cambria Math" w:hAnsi="Cambria Math"/>
                  <w:i/>
                  <w:sz w:val="20"/>
                </w:rPr>
              </m:ctrlPr>
            </m:sSubPr>
            <m:e>
              <m:r>
                <w:rPr>
                  <w:rFonts w:ascii="Cambria Math" w:hAnsi="Cambria Math"/>
                  <w:sz w:val="20"/>
                </w:rPr>
                <m:t xml:space="preserve">Life-cycle </m:t>
              </m:r>
              <m:sSub>
                <m:sSubPr>
                  <m:ctrlPr>
                    <w:rPr>
                      <w:rFonts w:ascii="Cambria Math" w:hAnsi="Cambria Math"/>
                      <w:i/>
                      <w:sz w:val="20"/>
                    </w:rPr>
                  </m:ctrlPr>
                </m:sSubPr>
                <m:e>
                  <m:r>
                    <w:rPr>
                      <w:rFonts w:ascii="Cambria Math" w:hAnsi="Cambria Math"/>
                      <w:sz w:val="20"/>
                    </w:rPr>
                    <m:t>CO</m:t>
                  </m:r>
                </m:e>
                <m:sub>
                  <m:r>
                    <w:rPr>
                      <w:rFonts w:ascii="Cambria Math" w:hAnsi="Cambria Math"/>
                      <w:sz w:val="20"/>
                    </w:rPr>
                    <m:t>2</m:t>
                  </m:r>
                </m:sub>
              </m:sSub>
              <m:r>
                <w:rPr>
                  <w:rFonts w:ascii="Cambria Math" w:hAnsi="Cambria Math"/>
                  <w:sz w:val="20"/>
                </w:rPr>
                <m:t xml:space="preserve"> savings</m:t>
              </m:r>
            </m:e>
            <m:sub>
              <m:r>
                <w:rPr>
                  <w:rFonts w:ascii="Cambria Math" w:hAnsi="Cambria Math"/>
                  <w:sz w:val="20"/>
                </w:rPr>
                <m:t>AR</m:t>
              </m:r>
            </m:sub>
          </m:sSub>
          <m:r>
            <w:rPr>
              <w:rFonts w:ascii="Cambria Math" w:hAnsi="Cambria Math"/>
              <w:sz w:val="20"/>
            </w:rPr>
            <m:t xml:space="preserve"> </m:t>
          </m:r>
          <m:d>
            <m:dPr>
              <m:begChr m:val="["/>
              <m:endChr m:val="]"/>
              <m:ctrlPr>
                <w:rPr>
                  <w:rFonts w:ascii="Cambria Math" w:hAnsi="Cambria Math"/>
                  <w:i/>
                  <w:sz w:val="20"/>
                </w:rPr>
              </m:ctrlPr>
            </m:dPr>
            <m:e>
              <m:r>
                <w:rPr>
                  <w:rFonts w:ascii="Cambria Math" w:hAnsi="Cambria Math"/>
                  <w:sz w:val="20"/>
                </w:rPr>
                <m:t>metric tonnes</m:t>
              </m:r>
            </m:e>
          </m:d>
          <m:r>
            <w:rPr>
              <w:rFonts w:ascii="Cambria Math" w:hAnsi="Cambria Math"/>
              <w:sz w:val="20"/>
            </w:rPr>
            <m:t xml:space="preserve">= </m:t>
          </m:r>
          <m:nary>
            <m:naryPr>
              <m:chr m:val="∑"/>
              <m:limLoc m:val="undOvr"/>
              <m:ctrlPr>
                <w:rPr>
                  <w:rFonts w:ascii="Cambria Math" w:hAnsi="Cambria Math"/>
                  <w:i/>
                  <w:sz w:val="18"/>
                </w:rPr>
              </m:ctrlPr>
            </m:naryPr>
            <m:sub>
              <m:r>
                <w:rPr>
                  <w:rFonts w:ascii="Cambria Math" w:hAnsi="Cambria Math"/>
                  <w:sz w:val="18"/>
                </w:rPr>
                <m:t>i=start year</m:t>
              </m:r>
            </m:sub>
            <m:sup>
              <m:r>
                <w:rPr>
                  <w:rFonts w:ascii="Cambria Math" w:hAnsi="Cambria Math"/>
                  <w:sz w:val="18"/>
                </w:rPr>
                <m:t>RUL+start year-1</m:t>
              </m:r>
            </m:sup>
            <m:e>
              <m:d>
                <m:dPr>
                  <m:ctrlPr>
                    <w:rPr>
                      <w:rFonts w:ascii="Cambria Math" w:hAnsi="Cambria Math"/>
                      <w:i/>
                      <w:sz w:val="18"/>
                    </w:rPr>
                  </m:ctrlPr>
                </m:dPr>
                <m:e>
                  <m:r>
                    <w:rPr>
                      <w:rFonts w:ascii="Cambria Math" w:hAnsi="Cambria Math"/>
                      <w:sz w:val="18"/>
                    </w:rPr>
                    <m:t xml:space="preserve"> </m:t>
                  </m:r>
                  <m:sSub>
                    <m:sSubPr>
                      <m:ctrlPr>
                        <w:rPr>
                          <w:rFonts w:ascii="Cambria Math" w:hAnsi="Cambria Math"/>
                          <w:i/>
                          <w:sz w:val="18"/>
                        </w:rPr>
                      </m:ctrlPr>
                    </m:sSubPr>
                    <m:e>
                      <m:r>
                        <w:rPr>
                          <w:rFonts w:ascii="Cambria Math" w:hAnsi="Cambria Math"/>
                          <w:sz w:val="18"/>
                        </w:rPr>
                        <m:t>∆MWh</m:t>
                      </m:r>
                    </m:e>
                    <m:sub>
                      <m:r>
                        <w:rPr>
                          <w:rFonts w:ascii="Cambria Math" w:hAnsi="Cambria Math"/>
                          <w:sz w:val="18"/>
                        </w:rPr>
                        <m:t>1st baseline</m:t>
                      </m:r>
                    </m:sub>
                  </m:sSub>
                  <m:r>
                    <w:rPr>
                      <w:rFonts w:ascii="Cambria Math" w:hAnsi="Cambria Math"/>
                      <w:sz w:val="18"/>
                    </w:rPr>
                    <m:t xml:space="preserve"> X </m:t>
                  </m:r>
                  <m:sSub>
                    <m:sSubPr>
                      <m:ctrlPr>
                        <w:rPr>
                          <w:rFonts w:ascii="Cambria Math" w:hAnsi="Cambria Math"/>
                          <w:i/>
                          <w:sz w:val="18"/>
                        </w:rPr>
                      </m:ctrlPr>
                    </m:sSubPr>
                    <m:e>
                      <m:r>
                        <w:rPr>
                          <w:rFonts w:ascii="Cambria Math" w:hAnsi="Cambria Math"/>
                          <w:sz w:val="18"/>
                        </w:rPr>
                        <m:t xml:space="preserve">EI </m:t>
                      </m:r>
                    </m:e>
                    <m:sub>
                      <m:r>
                        <w:rPr>
                          <w:rFonts w:ascii="Cambria Math" w:hAnsi="Cambria Math"/>
                          <w:sz w:val="18"/>
                        </w:rPr>
                        <m:t>i</m:t>
                      </m:r>
                    </m:sub>
                  </m:sSub>
                  <m:r>
                    <w:rPr>
                      <w:rFonts w:ascii="Cambria Math" w:hAnsi="Cambria Math"/>
                      <w:sz w:val="18"/>
                    </w:rPr>
                    <m:t xml:space="preserve"> [</m:t>
                  </m:r>
                  <m:r>
                    <w:rPr>
                      <w:rFonts w:ascii="Cambria Math" w:hAnsi="Cambria Math"/>
                      <w:sz w:val="20"/>
                    </w:rPr>
                    <m:t>metric tonnes</m:t>
                  </m:r>
                  <m:r>
                    <w:rPr>
                      <w:rFonts w:ascii="Cambria Math" w:hAnsi="Cambria Math"/>
                      <w:sz w:val="18"/>
                    </w:rPr>
                    <m:t>]</m:t>
                  </m:r>
                </m:e>
              </m:d>
            </m:e>
          </m:nary>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18"/>
                    </w:rPr>
                  </m:ctrlPr>
                </m:sSubPr>
                <m:e>
                  <m:r>
                    <w:rPr>
                      <w:rFonts w:ascii="Cambria Math" w:hAnsi="Cambria Math"/>
                      <w:sz w:val="18"/>
                    </w:rPr>
                    <m:t xml:space="preserve">∆ </m:t>
                  </m:r>
                  <m:r>
                    <w:rPr>
                      <w:rFonts w:ascii="Cambria Math" w:hAnsi="Cambria Math"/>
                      <w:sz w:val="20"/>
                    </w:rPr>
                    <m:t>Therms</m:t>
                  </m:r>
                </m:e>
                <m:sub>
                  <m:r>
                    <w:rPr>
                      <w:rFonts w:ascii="Cambria Math" w:hAnsi="Cambria Math"/>
                      <w:sz w:val="18"/>
                    </w:rPr>
                    <m:t>1st baseline</m:t>
                  </m:r>
                </m:sub>
              </m:sSub>
              <m:r>
                <w:rPr>
                  <w:rFonts w:ascii="Cambria Math" w:hAnsi="Cambria Math"/>
                  <w:sz w:val="20"/>
                </w:rPr>
                <m:t xml:space="preserve"> X </m:t>
              </m:r>
              <m:r>
                <w:rPr>
                  <w:rFonts w:ascii="Cambria Math" w:hAnsi="Cambria Math"/>
                  <w:sz w:val="18"/>
                </w:rPr>
                <m:t>EI</m:t>
              </m:r>
              <m:r>
                <w:rPr>
                  <w:rFonts w:ascii="Cambria Math" w:hAnsi="Cambria Math"/>
                  <w:sz w:val="20"/>
                </w:rPr>
                <m:t xml:space="preserve"> </m:t>
              </m:r>
              <m:d>
                <m:dPr>
                  <m:begChr m:val="["/>
                  <m:endChr m:val="]"/>
                  <m:ctrlPr>
                    <w:rPr>
                      <w:rFonts w:ascii="Cambria Math" w:hAnsi="Cambria Math"/>
                      <w:i/>
                      <w:sz w:val="20"/>
                    </w:rPr>
                  </m:ctrlPr>
                </m:dPr>
                <m:e>
                  <m:f>
                    <m:fPr>
                      <m:ctrlPr>
                        <w:rPr>
                          <w:rFonts w:ascii="Cambria Math" w:hAnsi="Cambria Math"/>
                          <w:i/>
                          <w:sz w:val="18"/>
                        </w:rPr>
                      </m:ctrlPr>
                    </m:fPr>
                    <m:num>
                      <m:r>
                        <w:rPr>
                          <w:rFonts w:ascii="Cambria Math" w:hAnsi="Cambria Math"/>
                          <w:sz w:val="20"/>
                        </w:rPr>
                        <m:t>metric tonnes</m:t>
                      </m:r>
                    </m:num>
                    <m:den>
                      <m:r>
                        <w:rPr>
                          <w:rFonts w:ascii="Cambria Math" w:hAnsi="Cambria Math"/>
                          <w:sz w:val="18"/>
                        </w:rPr>
                        <m:t>Therm</m:t>
                      </m:r>
                    </m:den>
                  </m:f>
                </m:e>
              </m:d>
              <m:r>
                <w:rPr>
                  <w:rFonts w:ascii="Cambria Math" w:hAnsi="Cambria Math"/>
                  <w:sz w:val="20"/>
                </w:rPr>
                <m:t xml:space="preserve">X RUL </m:t>
              </m:r>
            </m:e>
          </m:d>
          <m:r>
            <w:rPr>
              <w:rFonts w:ascii="Cambria Math" w:hAnsi="Cambria Math"/>
              <w:sz w:val="20"/>
            </w:rPr>
            <m:t>+</m:t>
          </m:r>
          <m:nary>
            <m:naryPr>
              <m:chr m:val="∑"/>
              <m:limLoc m:val="undOvr"/>
              <m:ctrlPr>
                <w:rPr>
                  <w:rFonts w:ascii="Cambria Math" w:hAnsi="Cambria Math"/>
                  <w:i/>
                  <w:sz w:val="18"/>
                </w:rPr>
              </m:ctrlPr>
            </m:naryPr>
            <m:sub>
              <m:r>
                <w:rPr>
                  <w:rFonts w:ascii="Cambria Math" w:hAnsi="Cambria Math"/>
                  <w:sz w:val="18"/>
                </w:rPr>
                <m:t>i=RUL+start year</m:t>
              </m:r>
            </m:sub>
            <m:sup>
              <m:r>
                <w:rPr>
                  <w:rFonts w:ascii="Cambria Math" w:hAnsi="Cambria Math"/>
                  <w:sz w:val="18"/>
                </w:rPr>
                <m:t>EUL+start year-1</m:t>
              </m:r>
            </m:sup>
            <m:e>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∆MWh</m:t>
                      </m:r>
                    </m:e>
                    <m:sub>
                      <m:r>
                        <w:rPr>
                          <w:rFonts w:ascii="Cambria Math" w:hAnsi="Cambria Math"/>
                          <w:sz w:val="18"/>
                        </w:rPr>
                        <m:t>2nd baseline</m:t>
                      </m:r>
                    </m:sub>
                  </m:sSub>
                  <m:r>
                    <w:rPr>
                      <w:rFonts w:ascii="Cambria Math" w:hAnsi="Cambria Math"/>
                      <w:sz w:val="18"/>
                    </w:rPr>
                    <m:t xml:space="preserve"> X</m:t>
                  </m:r>
                  <m:sSub>
                    <m:sSubPr>
                      <m:ctrlPr>
                        <w:rPr>
                          <w:rFonts w:ascii="Cambria Math" w:hAnsi="Cambria Math"/>
                          <w:i/>
                          <w:sz w:val="18"/>
                        </w:rPr>
                      </m:ctrlPr>
                    </m:sSubPr>
                    <m:e>
                      <m:r>
                        <w:rPr>
                          <w:rFonts w:ascii="Cambria Math" w:hAnsi="Cambria Math"/>
                          <w:sz w:val="18"/>
                        </w:rPr>
                        <m:t xml:space="preserve">EI </m:t>
                      </m:r>
                    </m:e>
                    <m:sub>
                      <m:r>
                        <w:rPr>
                          <w:rFonts w:ascii="Cambria Math" w:hAnsi="Cambria Math"/>
                          <w:sz w:val="18"/>
                        </w:rPr>
                        <m:t>i</m:t>
                      </m:r>
                    </m:sub>
                  </m:sSub>
                  <m:r>
                    <w:rPr>
                      <w:rFonts w:ascii="Cambria Math" w:hAnsi="Cambria Math"/>
                      <w:sz w:val="18"/>
                    </w:rPr>
                    <m:t xml:space="preserve"> [</m:t>
                  </m:r>
                  <m:f>
                    <m:fPr>
                      <m:ctrlPr>
                        <w:rPr>
                          <w:rFonts w:ascii="Cambria Math" w:hAnsi="Cambria Math"/>
                          <w:i/>
                          <w:sz w:val="18"/>
                        </w:rPr>
                      </m:ctrlPr>
                    </m:fPr>
                    <m:num>
                      <m:r>
                        <w:rPr>
                          <w:rFonts w:ascii="Cambria Math" w:hAnsi="Cambria Math"/>
                          <w:sz w:val="20"/>
                        </w:rPr>
                        <m:t>metric tonnes</m:t>
                      </m:r>
                    </m:num>
                    <m:den>
                      <m:r>
                        <w:rPr>
                          <w:rFonts w:ascii="Cambria Math" w:hAnsi="Cambria Math"/>
                          <w:sz w:val="18"/>
                        </w:rPr>
                        <m:t>MWh</m:t>
                      </m:r>
                    </m:den>
                  </m:f>
                  <m:r>
                    <w:rPr>
                      <w:rFonts w:ascii="Cambria Math" w:hAnsi="Cambria Math"/>
                      <w:sz w:val="18"/>
                    </w:rPr>
                    <m:t>]</m:t>
                  </m:r>
                </m:e>
              </m:d>
            </m:e>
          </m:nary>
          <m:r>
            <w:rPr>
              <w:rFonts w:ascii="Cambria Math" w:hAnsi="Cambria Math"/>
              <w:sz w:val="20"/>
            </w:rPr>
            <m:t>+</m:t>
          </m:r>
          <m:d>
            <m:dPr>
              <m:ctrlPr>
                <w:rPr>
                  <w:rFonts w:ascii="Cambria Math" w:hAnsi="Cambria Math"/>
                  <w:i/>
                  <w:sz w:val="20"/>
                </w:rPr>
              </m:ctrlPr>
            </m:dPr>
            <m:e>
              <m:sSub>
                <m:sSubPr>
                  <m:ctrlPr>
                    <w:rPr>
                      <w:rFonts w:ascii="Cambria Math" w:hAnsi="Cambria Math"/>
                      <w:i/>
                      <w:sz w:val="18"/>
                    </w:rPr>
                  </m:ctrlPr>
                </m:sSubPr>
                <m:e>
                  <m:r>
                    <w:rPr>
                      <w:rFonts w:ascii="Cambria Math" w:hAnsi="Cambria Math"/>
                      <w:sz w:val="18"/>
                    </w:rPr>
                    <m:t xml:space="preserve">∆ </m:t>
                  </m:r>
                  <m:r>
                    <w:rPr>
                      <w:rFonts w:ascii="Cambria Math" w:hAnsi="Cambria Math"/>
                      <w:sz w:val="20"/>
                    </w:rPr>
                    <m:t>Therms</m:t>
                  </m:r>
                </m:e>
                <m:sub>
                  <m:r>
                    <w:rPr>
                      <w:rFonts w:ascii="Cambria Math" w:hAnsi="Cambria Math"/>
                      <w:sz w:val="18"/>
                    </w:rPr>
                    <m:t>2nd baseline</m:t>
                  </m:r>
                </m:sub>
              </m:sSub>
              <m:r>
                <w:rPr>
                  <w:rFonts w:ascii="Cambria Math" w:hAnsi="Cambria Math"/>
                  <w:sz w:val="20"/>
                </w:rPr>
                <m:t xml:space="preserve"> X  </m:t>
              </m:r>
              <m:r>
                <w:rPr>
                  <w:rFonts w:ascii="Cambria Math" w:hAnsi="Cambria Math"/>
                  <w:sz w:val="18"/>
                </w:rPr>
                <m:t>EI</m:t>
              </m:r>
              <m:r>
                <w:rPr>
                  <w:rFonts w:ascii="Cambria Math" w:hAnsi="Cambria Math"/>
                  <w:sz w:val="20"/>
                </w:rPr>
                <m:t xml:space="preserve"> </m:t>
              </m:r>
              <m:d>
                <m:dPr>
                  <m:begChr m:val="["/>
                  <m:endChr m:val="]"/>
                  <m:ctrlPr>
                    <w:rPr>
                      <w:rFonts w:ascii="Cambria Math" w:hAnsi="Cambria Math"/>
                      <w:i/>
                      <w:sz w:val="20"/>
                    </w:rPr>
                  </m:ctrlPr>
                </m:dPr>
                <m:e>
                  <m:f>
                    <m:fPr>
                      <m:ctrlPr>
                        <w:rPr>
                          <w:rFonts w:ascii="Cambria Math" w:hAnsi="Cambria Math"/>
                          <w:i/>
                          <w:sz w:val="18"/>
                        </w:rPr>
                      </m:ctrlPr>
                    </m:fPr>
                    <m:num>
                      <m:r>
                        <w:rPr>
                          <w:rFonts w:ascii="Cambria Math" w:hAnsi="Cambria Math"/>
                          <w:sz w:val="20"/>
                        </w:rPr>
                        <m:t>metric tonnes</m:t>
                      </m:r>
                    </m:num>
                    <m:den>
                      <m:r>
                        <w:rPr>
                          <w:rFonts w:ascii="Cambria Math" w:hAnsi="Cambria Math"/>
                          <w:sz w:val="18"/>
                        </w:rPr>
                        <m:t>Therm</m:t>
                      </m:r>
                    </m:den>
                  </m:f>
                </m:e>
              </m:d>
              <m:r>
                <w:rPr>
                  <w:rFonts w:ascii="Cambria Math" w:hAnsi="Cambria Math"/>
                  <w:sz w:val="20"/>
                </w:rPr>
                <m:t xml:space="preserve">X (EUL-RUL) </m:t>
              </m:r>
            </m:e>
          </m:d>
        </m:oMath>
      </m:oMathPara>
    </w:p>
    <w:p w14:paraId="71B0E74F" w14:textId="77777777" w:rsidR="00894056" w:rsidRPr="00367466" w:rsidRDefault="00894056" w:rsidP="00894056">
      <w:r w:rsidRPr="00367466">
        <w:t>Where:</w:t>
      </w:r>
    </w:p>
    <w:p w14:paraId="2AA6A5CE" w14:textId="77777777" w:rsidR="00894056" w:rsidRPr="00E9435E" w:rsidRDefault="00894056" w:rsidP="00894056">
      <w:pPr>
        <w:rPr>
          <w:rFonts w:eastAsiaTheme="minorEastAsia"/>
          <w:sz w:val="20"/>
        </w:rPr>
      </w:pPr>
    </w:p>
    <w:p w14:paraId="56339D16" w14:textId="77777777" w:rsidR="00894056" w:rsidRDefault="009D6009" w:rsidP="00894056">
      <w:pPr>
        <w:rPr>
          <w:rFonts w:eastAsiaTheme="minorEastAsia"/>
          <w:sz w:val="20"/>
        </w:rPr>
      </w:pPr>
      <m:oMath>
        <m:sSub>
          <m:sSubPr>
            <m:ctrlPr>
              <w:rPr>
                <w:rFonts w:ascii="Cambria Math" w:hAnsi="Cambria Math"/>
                <w:i/>
                <w:sz w:val="20"/>
              </w:rPr>
            </m:ctrlPr>
          </m:sSubPr>
          <m:e>
            <m:r>
              <w:rPr>
                <w:rFonts w:ascii="Cambria Math" w:hAnsi="Cambria Math"/>
                <w:sz w:val="20"/>
              </w:rPr>
              <m:t xml:space="preserve">Life-cycle </m:t>
            </m:r>
            <m:sSub>
              <m:sSubPr>
                <m:ctrlPr>
                  <w:rPr>
                    <w:rFonts w:ascii="Cambria Math" w:hAnsi="Cambria Math"/>
                    <w:i/>
                    <w:sz w:val="20"/>
                  </w:rPr>
                </m:ctrlPr>
              </m:sSubPr>
              <m:e>
                <m:r>
                  <w:rPr>
                    <w:rFonts w:ascii="Cambria Math" w:hAnsi="Cambria Math"/>
                    <w:sz w:val="20"/>
                  </w:rPr>
                  <m:t>CO</m:t>
                </m:r>
              </m:e>
              <m:sub>
                <m:r>
                  <w:rPr>
                    <w:rFonts w:ascii="Cambria Math" w:hAnsi="Cambria Math"/>
                    <w:sz w:val="20"/>
                  </w:rPr>
                  <m:t>2</m:t>
                </m:r>
              </m:sub>
            </m:sSub>
            <m:r>
              <w:rPr>
                <w:rFonts w:ascii="Cambria Math" w:hAnsi="Cambria Math"/>
                <w:sz w:val="20"/>
              </w:rPr>
              <m:t xml:space="preserve"> savings</m:t>
            </m:r>
          </m:e>
          <m:sub>
            <m:r>
              <w:rPr>
                <w:rFonts w:ascii="Cambria Math" w:hAnsi="Cambria Math"/>
                <w:sz w:val="20"/>
              </w:rPr>
              <m:t>NR</m:t>
            </m:r>
          </m:sub>
        </m:sSub>
        <m:r>
          <w:rPr>
            <w:rFonts w:ascii="Cambria Math" w:hAnsi="Cambria Math"/>
            <w:sz w:val="20"/>
          </w:rPr>
          <m:t xml:space="preserve"> [metric tonnes]</m:t>
        </m:r>
      </m:oMath>
      <w:r w:rsidR="00894056">
        <w:rPr>
          <w:rFonts w:eastAsiaTheme="minorEastAsia"/>
          <w:sz w:val="20"/>
        </w:rPr>
        <w:t xml:space="preserve"> = </w:t>
      </w:r>
      <w:r w:rsidR="00894056">
        <w:t>CO</w:t>
      </w:r>
      <w:r w:rsidR="00894056" w:rsidRPr="00424BC8">
        <w:rPr>
          <w:vertAlign w:val="subscript"/>
        </w:rPr>
        <w:t>2</w:t>
      </w:r>
      <w:r w:rsidR="00894056" w:rsidRPr="00A83C44">
        <w:t xml:space="preserve"> savings for Normal Replacement </w:t>
      </w:r>
      <w:r w:rsidR="00894056">
        <w:t xml:space="preserve">(NR) </w:t>
      </w:r>
      <w:r w:rsidR="00894056" w:rsidRPr="00A83C44">
        <w:t>Measure application type over the life of the measure.</w:t>
      </w:r>
      <w:r w:rsidR="00894056">
        <w:rPr>
          <w:rFonts w:eastAsiaTheme="minorEastAsia"/>
          <w:sz w:val="20"/>
        </w:rPr>
        <w:t xml:space="preserve"> </w:t>
      </w:r>
    </w:p>
    <w:p w14:paraId="151E3940" w14:textId="77777777" w:rsidR="00894056" w:rsidRDefault="00894056" w:rsidP="00894056">
      <w:pPr>
        <w:rPr>
          <w:rFonts w:eastAsiaTheme="minorEastAsia"/>
          <w:sz w:val="20"/>
        </w:rPr>
      </w:pPr>
    </w:p>
    <w:p w14:paraId="43870113" w14:textId="77777777" w:rsidR="00894056" w:rsidRDefault="00894056" w:rsidP="00894056">
      <w:pPr>
        <w:rPr>
          <w:rFonts w:eastAsiaTheme="minorEastAsia"/>
          <w:sz w:val="18"/>
        </w:rPr>
      </w:pPr>
      <m:oMath>
        <m:r>
          <w:rPr>
            <w:rFonts w:ascii="Cambria Math" w:hAnsi="Cambria Math"/>
            <w:sz w:val="18"/>
          </w:rPr>
          <m:t>start year</m:t>
        </m:r>
      </m:oMath>
      <w:r>
        <w:rPr>
          <w:rFonts w:eastAsiaTheme="minorEastAsia"/>
          <w:sz w:val="18"/>
        </w:rPr>
        <w:t xml:space="preserve"> = </w:t>
      </w:r>
      <w:r w:rsidRPr="00A83C44">
        <w:t xml:space="preserve">The year when the measure will </w:t>
      </w:r>
      <w:r>
        <w:t>go into</w:t>
      </w:r>
      <w:r w:rsidRPr="00A83C44">
        <w:t xml:space="preserve"> operational.</w:t>
      </w:r>
      <w:r>
        <w:rPr>
          <w:rFonts w:eastAsiaTheme="minorEastAsia"/>
          <w:sz w:val="18"/>
        </w:rPr>
        <w:t xml:space="preserve"> </w:t>
      </w:r>
    </w:p>
    <w:p w14:paraId="2D4111EA" w14:textId="77777777" w:rsidR="00894056" w:rsidRDefault="00894056" w:rsidP="00894056">
      <w:pPr>
        <w:rPr>
          <w:rFonts w:eastAsiaTheme="minorEastAsia"/>
          <w:sz w:val="18"/>
        </w:rPr>
      </w:pPr>
    </w:p>
    <w:p w14:paraId="345919F2" w14:textId="77777777" w:rsidR="00894056" w:rsidRDefault="00894056" w:rsidP="00894056">
      <w:pPr>
        <w:rPr>
          <w:rFonts w:eastAsiaTheme="minorEastAsia"/>
          <w:sz w:val="20"/>
        </w:rPr>
      </w:pPr>
      <m:oMath>
        <m:r>
          <w:rPr>
            <w:rFonts w:ascii="Cambria Math" w:hAnsi="Cambria Math"/>
            <w:sz w:val="20"/>
          </w:rPr>
          <m:t>EUL</m:t>
        </m:r>
      </m:oMath>
      <w:r>
        <w:rPr>
          <w:rFonts w:eastAsiaTheme="minorEastAsia"/>
          <w:sz w:val="20"/>
        </w:rPr>
        <w:t xml:space="preserve"> = </w:t>
      </w:r>
      <w:r w:rsidRPr="00A83C44">
        <w:t>Effective Useful Life</w:t>
      </w:r>
      <w:r>
        <w:rPr>
          <w:rFonts w:eastAsiaTheme="minorEastAsia"/>
          <w:sz w:val="20"/>
        </w:rPr>
        <w:t xml:space="preserve"> </w:t>
      </w:r>
      <w:r w:rsidRPr="00A83C44">
        <w:t>of the measure</w:t>
      </w:r>
    </w:p>
    <w:p w14:paraId="59452DE2" w14:textId="77777777" w:rsidR="00894056" w:rsidRDefault="00894056" w:rsidP="00894056">
      <w:pPr>
        <w:rPr>
          <w:rFonts w:eastAsiaTheme="minorEastAsia"/>
          <w:sz w:val="20"/>
        </w:rPr>
      </w:pPr>
    </w:p>
    <w:p w14:paraId="4DFE1031" w14:textId="77777777" w:rsidR="00894056" w:rsidRDefault="00894056" w:rsidP="00894056">
      <w:pPr>
        <w:rPr>
          <w:rFonts w:eastAsiaTheme="minorEastAsia"/>
          <w:sz w:val="18"/>
        </w:rPr>
      </w:pPr>
      <m:oMath>
        <m:r>
          <w:rPr>
            <w:rFonts w:ascii="Cambria Math" w:hAnsi="Cambria Math"/>
            <w:sz w:val="18"/>
          </w:rPr>
          <m:t xml:space="preserve">∆ MWh </m:t>
        </m:r>
      </m:oMath>
      <w:r>
        <w:rPr>
          <w:rFonts w:eastAsiaTheme="minorEastAsia"/>
          <w:sz w:val="18"/>
        </w:rPr>
        <w:t xml:space="preserve">= </w:t>
      </w:r>
      <w:r w:rsidRPr="007F4F16">
        <w:t xml:space="preserve">Baseline </w:t>
      </w:r>
      <w:r>
        <w:t>M</w:t>
      </w:r>
      <w:r w:rsidRPr="007F4F16">
        <w:t>Wh</w:t>
      </w:r>
      <w:r>
        <w:t>/year</w:t>
      </w:r>
      <w:r w:rsidRPr="007F4F16">
        <w:t xml:space="preserve"> – Measure </w:t>
      </w:r>
      <w:r>
        <w:t>M</w:t>
      </w:r>
      <w:r w:rsidRPr="007F4F16">
        <w:t>Wh</w:t>
      </w:r>
      <w:r>
        <w:t>/year</w:t>
      </w:r>
      <w:r w:rsidRPr="007F4F16">
        <w:t xml:space="preserve"> in the 1st year. Negative value for increase and positive value for decrease in </w:t>
      </w:r>
      <w:r>
        <w:t>electricity</w:t>
      </w:r>
      <w:r w:rsidRPr="007F4F16">
        <w:t xml:space="preserve"> usage from fuel substitution measure</w:t>
      </w:r>
    </w:p>
    <w:p w14:paraId="26C00085" w14:textId="77777777" w:rsidR="00894056" w:rsidRDefault="00894056" w:rsidP="00894056">
      <w:pPr>
        <w:rPr>
          <w:rFonts w:eastAsiaTheme="minorEastAsia"/>
          <w:sz w:val="18"/>
        </w:rPr>
      </w:pPr>
    </w:p>
    <w:p w14:paraId="2EE0A431" w14:textId="77777777" w:rsidR="00894056" w:rsidRDefault="009D6009" w:rsidP="00894056">
      <m:oMath>
        <m:sSub>
          <m:sSubPr>
            <m:ctrlPr>
              <w:rPr>
                <w:rFonts w:ascii="Cambria Math" w:hAnsi="Cambria Math"/>
                <w:i/>
                <w:sz w:val="18"/>
              </w:rPr>
            </m:ctrlPr>
          </m:sSubPr>
          <m:e>
            <m:r>
              <w:rPr>
                <w:rFonts w:ascii="Cambria Math" w:hAnsi="Cambria Math"/>
                <w:sz w:val="18"/>
              </w:rPr>
              <m:t>EI</m:t>
            </m:r>
          </m:e>
          <m:sub>
            <m:r>
              <w:rPr>
                <w:rFonts w:ascii="Cambria Math" w:hAnsi="Cambria Math"/>
                <w:sz w:val="18"/>
              </w:rPr>
              <m:t>i</m:t>
            </m:r>
          </m:sub>
        </m:sSub>
        <m:r>
          <w:rPr>
            <w:rFonts w:ascii="Cambria Math" w:hAnsi="Cambria Math"/>
            <w:sz w:val="18"/>
          </w:rPr>
          <m:t xml:space="preserve"> </m:t>
        </m:r>
        <m:d>
          <m:dPr>
            <m:begChr m:val="["/>
            <m:endChr m:val="]"/>
            <m:ctrlPr>
              <w:rPr>
                <w:rFonts w:ascii="Cambria Math" w:hAnsi="Cambria Math"/>
                <w:i/>
                <w:sz w:val="18"/>
              </w:rPr>
            </m:ctrlPr>
          </m:dPr>
          <m:e>
            <m:f>
              <m:fPr>
                <m:ctrlPr>
                  <w:rPr>
                    <w:rFonts w:ascii="Cambria Math" w:hAnsi="Cambria Math"/>
                    <w:i/>
                    <w:sz w:val="18"/>
                  </w:rPr>
                </m:ctrlPr>
              </m:fPr>
              <m:num>
                <m:r>
                  <w:rPr>
                    <w:rFonts w:ascii="Cambria Math" w:hAnsi="Cambria Math"/>
                    <w:sz w:val="20"/>
                  </w:rPr>
                  <m:t>metric tonnes</m:t>
                </m:r>
              </m:num>
              <m:den>
                <m:r>
                  <w:rPr>
                    <w:rFonts w:ascii="Cambria Math" w:hAnsi="Cambria Math"/>
                    <w:sz w:val="18"/>
                  </w:rPr>
                  <m:t>MWh</m:t>
                </m:r>
              </m:den>
            </m:f>
          </m:e>
        </m:d>
      </m:oMath>
      <w:r w:rsidR="00894056">
        <w:rPr>
          <w:rFonts w:eastAsiaTheme="minorEastAsia"/>
          <w:sz w:val="18"/>
        </w:rPr>
        <w:t xml:space="preserve"> = </w:t>
      </w:r>
      <w:r w:rsidR="00894056" w:rsidRPr="00A83C44">
        <w:t xml:space="preserve">Yearly </w:t>
      </w:r>
      <w:r w:rsidR="00894056">
        <w:t>Emission Intensity [EI]</w:t>
      </w:r>
      <w:r w:rsidR="00894056" w:rsidRPr="00A83C44">
        <w:t xml:space="preserve"> values in Table 1 for electricity </w:t>
      </w:r>
    </w:p>
    <w:p w14:paraId="7B07B647" w14:textId="77777777" w:rsidR="00894056" w:rsidRPr="00A83C44" w:rsidRDefault="00894056" w:rsidP="00894056"/>
    <w:p w14:paraId="71E8B0C2" w14:textId="289ED9D9" w:rsidR="00894056" w:rsidRDefault="00894056" w:rsidP="00894056">
      <w:pPr>
        <w:rPr>
          <w:rFonts w:eastAsiaTheme="minorEastAsia"/>
          <w:sz w:val="18"/>
        </w:rPr>
      </w:pPr>
      <m:oMath>
        <m:r>
          <w:rPr>
            <w:rFonts w:ascii="Cambria Math" w:hAnsi="Cambria Math"/>
            <w:sz w:val="18"/>
          </w:rPr>
          <m:t xml:space="preserve">∆ </m:t>
        </m:r>
        <m:r>
          <w:rPr>
            <w:rFonts w:ascii="Cambria Math" w:hAnsi="Cambria Math"/>
            <w:sz w:val="20"/>
          </w:rPr>
          <m:t>Therms</m:t>
        </m:r>
      </m:oMath>
      <w:r>
        <w:rPr>
          <w:rFonts w:eastAsiaTheme="minorEastAsia"/>
          <w:sz w:val="20"/>
        </w:rPr>
        <w:t xml:space="preserve"> = </w:t>
      </w:r>
      <w:r w:rsidRPr="007F4F16">
        <w:t xml:space="preserve">Baseline </w:t>
      </w:r>
      <w:proofErr w:type="spellStart"/>
      <w:r w:rsidR="002A12B2">
        <w:t>Therm</w:t>
      </w:r>
      <w:proofErr w:type="spellEnd"/>
      <w:r>
        <w:t>/year</w:t>
      </w:r>
      <w:r w:rsidRPr="007F4F16">
        <w:t xml:space="preserve"> – Measure </w:t>
      </w:r>
      <w:proofErr w:type="spellStart"/>
      <w:r w:rsidR="002A12B2">
        <w:t>Therm</w:t>
      </w:r>
      <w:proofErr w:type="spellEnd"/>
      <w:r>
        <w:t>/year</w:t>
      </w:r>
      <w:r w:rsidRPr="007F4F16">
        <w:t xml:space="preserve"> in the 1st year. Negative value for increase and positive value for decrease in </w:t>
      </w:r>
      <w:r>
        <w:t xml:space="preserve">natural gas </w:t>
      </w:r>
      <w:r w:rsidRPr="007F4F16">
        <w:t>usage from fuel substitution measure</w:t>
      </w:r>
    </w:p>
    <w:p w14:paraId="06D20322" w14:textId="77777777" w:rsidR="00894056" w:rsidRDefault="00894056" w:rsidP="00894056">
      <w:pPr>
        <w:rPr>
          <w:rFonts w:eastAsiaTheme="minorEastAsia"/>
          <w:sz w:val="18"/>
        </w:rPr>
      </w:pPr>
    </w:p>
    <w:p w14:paraId="41CEDE2F" w14:textId="77777777" w:rsidR="00894056" w:rsidRDefault="00894056" w:rsidP="00894056">
      <w:pPr>
        <w:rPr>
          <w:rFonts w:eastAsiaTheme="minorEastAsia"/>
          <w:sz w:val="20"/>
        </w:rPr>
      </w:pPr>
      <m:oMath>
        <m:r>
          <w:rPr>
            <w:rFonts w:ascii="Cambria Math" w:hAnsi="Cambria Math"/>
            <w:sz w:val="20"/>
          </w:rPr>
          <m:t xml:space="preserve">EI </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metric tonnes</m:t>
                </m:r>
              </m:num>
              <m:den>
                <m:r>
                  <w:rPr>
                    <w:rFonts w:ascii="Cambria Math" w:hAnsi="Cambria Math"/>
                    <w:sz w:val="20"/>
                  </w:rPr>
                  <m:t>Therm</m:t>
                </m:r>
              </m:den>
            </m:f>
          </m:e>
        </m:d>
      </m:oMath>
      <w:r>
        <w:rPr>
          <w:rFonts w:eastAsiaTheme="minorEastAsia"/>
          <w:sz w:val="20"/>
        </w:rPr>
        <w:t xml:space="preserve"> = </w:t>
      </w:r>
      <w:r>
        <w:t>Emission Intensity [EI]</w:t>
      </w:r>
      <w:r w:rsidRPr="00A83C44">
        <w:t xml:space="preserve"> value for natural gas in Table 2</w:t>
      </w:r>
    </w:p>
    <w:p w14:paraId="382E78B5" w14:textId="77777777" w:rsidR="00894056" w:rsidRDefault="00894056" w:rsidP="00894056">
      <w:pPr>
        <w:rPr>
          <w:rFonts w:eastAsiaTheme="minorEastAsia"/>
          <w:sz w:val="20"/>
        </w:rPr>
      </w:pPr>
    </w:p>
    <w:p w14:paraId="69D9841B" w14:textId="77777777" w:rsidR="00894056" w:rsidRDefault="009D6009" w:rsidP="00894056">
      <w:pPr>
        <w:rPr>
          <w:rFonts w:eastAsiaTheme="minorEastAsia"/>
          <w:sz w:val="20"/>
        </w:rPr>
      </w:pPr>
      <m:oMath>
        <m:sSub>
          <m:sSubPr>
            <m:ctrlPr>
              <w:rPr>
                <w:rFonts w:ascii="Cambria Math" w:hAnsi="Cambria Math"/>
                <w:i/>
                <w:sz w:val="20"/>
              </w:rPr>
            </m:ctrlPr>
          </m:sSubPr>
          <m:e>
            <m:r>
              <w:rPr>
                <w:rFonts w:ascii="Cambria Math" w:hAnsi="Cambria Math"/>
                <w:sz w:val="20"/>
              </w:rPr>
              <m:t xml:space="preserve">Life-cycle </m:t>
            </m:r>
            <m:sSub>
              <m:sSubPr>
                <m:ctrlPr>
                  <w:rPr>
                    <w:rFonts w:ascii="Cambria Math" w:hAnsi="Cambria Math"/>
                    <w:i/>
                    <w:sz w:val="20"/>
                  </w:rPr>
                </m:ctrlPr>
              </m:sSubPr>
              <m:e>
                <m:r>
                  <w:rPr>
                    <w:rFonts w:ascii="Cambria Math" w:hAnsi="Cambria Math"/>
                    <w:sz w:val="20"/>
                  </w:rPr>
                  <m:t>CO</m:t>
                </m:r>
              </m:e>
              <m:sub>
                <m:r>
                  <w:rPr>
                    <w:rFonts w:ascii="Cambria Math" w:hAnsi="Cambria Math"/>
                    <w:sz w:val="20"/>
                  </w:rPr>
                  <m:t>2</m:t>
                </m:r>
              </m:sub>
            </m:sSub>
            <m:r>
              <w:rPr>
                <w:rFonts w:ascii="Cambria Math" w:hAnsi="Cambria Math"/>
                <w:sz w:val="20"/>
              </w:rPr>
              <m:t xml:space="preserve"> savings</m:t>
            </m:r>
          </m:e>
          <m:sub>
            <m:r>
              <w:rPr>
                <w:rFonts w:ascii="Cambria Math" w:hAnsi="Cambria Math"/>
                <w:sz w:val="20"/>
              </w:rPr>
              <m:t>AR</m:t>
            </m:r>
          </m:sub>
        </m:sSub>
        <m:r>
          <w:rPr>
            <w:rFonts w:ascii="Cambria Math" w:hAnsi="Cambria Math"/>
            <w:sz w:val="20"/>
          </w:rPr>
          <m:t xml:space="preserve"> [metric tonnes]</m:t>
        </m:r>
      </m:oMath>
      <w:r w:rsidR="00894056">
        <w:rPr>
          <w:rFonts w:eastAsiaTheme="minorEastAsia"/>
          <w:sz w:val="20"/>
        </w:rPr>
        <w:t xml:space="preserve"> = </w:t>
      </w:r>
      <w:r w:rsidR="00894056">
        <w:t>CO</w:t>
      </w:r>
      <w:r w:rsidR="00894056" w:rsidRPr="00A83C44">
        <w:rPr>
          <w:vertAlign w:val="subscript"/>
        </w:rPr>
        <w:t>2</w:t>
      </w:r>
      <w:r w:rsidR="00894056" w:rsidRPr="00A83C44">
        <w:t xml:space="preserve"> savings for </w:t>
      </w:r>
      <w:r w:rsidR="00894056">
        <w:t>Accelerated</w:t>
      </w:r>
      <w:r w:rsidR="00894056" w:rsidRPr="00A83C44">
        <w:t xml:space="preserve"> Replacement </w:t>
      </w:r>
      <w:r w:rsidR="00894056">
        <w:t xml:space="preserve">(AR) </w:t>
      </w:r>
      <w:r w:rsidR="00894056" w:rsidRPr="00A83C44">
        <w:t>Measure application type over the life of the measure.</w:t>
      </w:r>
      <w:r w:rsidR="00894056">
        <w:rPr>
          <w:rFonts w:eastAsiaTheme="minorEastAsia"/>
          <w:sz w:val="20"/>
        </w:rPr>
        <w:t xml:space="preserve"> </w:t>
      </w:r>
    </w:p>
    <w:p w14:paraId="58ADDD2B" w14:textId="77777777" w:rsidR="00894056" w:rsidRDefault="00894056" w:rsidP="00894056">
      <w:pPr>
        <w:rPr>
          <w:rFonts w:eastAsiaTheme="minorEastAsia"/>
          <w:sz w:val="20"/>
        </w:rPr>
      </w:pPr>
    </w:p>
    <w:p w14:paraId="210AA0E7" w14:textId="77777777" w:rsidR="00894056" w:rsidRDefault="00894056" w:rsidP="00894056">
      <w:pPr>
        <w:rPr>
          <w:rFonts w:eastAsiaTheme="minorEastAsia"/>
          <w:sz w:val="20"/>
        </w:rPr>
      </w:pPr>
      <m:oMath>
        <m:r>
          <w:rPr>
            <w:rFonts w:ascii="Cambria Math" w:hAnsi="Cambria Math"/>
            <w:sz w:val="20"/>
          </w:rPr>
          <m:t>RUL</m:t>
        </m:r>
      </m:oMath>
      <w:r>
        <w:rPr>
          <w:rFonts w:eastAsiaTheme="minorEastAsia"/>
          <w:sz w:val="20"/>
        </w:rPr>
        <w:t xml:space="preserve"> = </w:t>
      </w:r>
      <w:r>
        <w:t>Remaining</w:t>
      </w:r>
      <w:r w:rsidRPr="00A83C44">
        <w:t xml:space="preserve"> Useful Life</w:t>
      </w:r>
      <w:r>
        <w:rPr>
          <w:rFonts w:eastAsiaTheme="minorEastAsia"/>
          <w:sz w:val="20"/>
        </w:rPr>
        <w:t xml:space="preserve"> </w:t>
      </w:r>
      <w:r w:rsidRPr="00A83C44">
        <w:t>of the measure</w:t>
      </w:r>
    </w:p>
    <w:p w14:paraId="2FCB6F12" w14:textId="77777777" w:rsidR="00894056" w:rsidRDefault="00894056" w:rsidP="00894056">
      <w:pPr>
        <w:rPr>
          <w:rFonts w:eastAsiaTheme="minorEastAsia"/>
          <w:sz w:val="20"/>
        </w:rPr>
      </w:pPr>
    </w:p>
    <w:p w14:paraId="2A70E560" w14:textId="77777777" w:rsidR="00894056" w:rsidRPr="007F4F16" w:rsidRDefault="009D6009" w:rsidP="00894056">
      <m:oMath>
        <m:sSub>
          <m:sSubPr>
            <m:ctrlPr>
              <w:rPr>
                <w:rFonts w:ascii="Cambria Math" w:hAnsi="Cambria Math"/>
                <w:i/>
                <w:sz w:val="18"/>
              </w:rPr>
            </m:ctrlPr>
          </m:sSubPr>
          <m:e>
            <m:r>
              <w:rPr>
                <w:rFonts w:ascii="Cambria Math" w:hAnsi="Cambria Math"/>
                <w:sz w:val="18"/>
              </w:rPr>
              <m:t>∆ MWh</m:t>
            </m:r>
          </m:e>
          <m:sub>
            <m:r>
              <w:rPr>
                <w:rFonts w:ascii="Cambria Math" w:hAnsi="Cambria Math"/>
                <w:sz w:val="18"/>
              </w:rPr>
              <m:t>1st baseline</m:t>
            </m:r>
          </m:sub>
        </m:sSub>
      </m:oMath>
      <w:r w:rsidR="00894056">
        <w:rPr>
          <w:rFonts w:eastAsiaTheme="minorEastAsia"/>
          <w:sz w:val="18"/>
        </w:rPr>
        <w:t xml:space="preserve"> = </w:t>
      </w:r>
      <m:oMath>
        <m:r>
          <w:rPr>
            <w:rFonts w:ascii="Cambria Math" w:hAnsi="Cambria Math"/>
            <w:sz w:val="18"/>
          </w:rPr>
          <m:t xml:space="preserve">∆ MWh </m:t>
        </m:r>
      </m:oMath>
      <w:r w:rsidR="00894056" w:rsidRPr="007F4F16">
        <w:t>over the existing baseline</w:t>
      </w:r>
    </w:p>
    <w:p w14:paraId="481C5390" w14:textId="77777777" w:rsidR="00894056" w:rsidRDefault="00894056" w:rsidP="00894056">
      <w:pPr>
        <w:rPr>
          <w:rFonts w:eastAsiaTheme="minorEastAsia"/>
          <w:sz w:val="18"/>
        </w:rPr>
      </w:pPr>
    </w:p>
    <w:p w14:paraId="01BEA44B" w14:textId="77777777" w:rsidR="00894056" w:rsidRPr="007F4F16" w:rsidRDefault="009D6009" w:rsidP="00894056">
      <m:oMath>
        <m:sSub>
          <m:sSubPr>
            <m:ctrlPr>
              <w:rPr>
                <w:rFonts w:ascii="Cambria Math" w:hAnsi="Cambria Math"/>
                <w:i/>
                <w:sz w:val="18"/>
              </w:rPr>
            </m:ctrlPr>
          </m:sSubPr>
          <m:e>
            <m:r>
              <w:rPr>
                <w:rFonts w:ascii="Cambria Math" w:hAnsi="Cambria Math"/>
                <w:sz w:val="18"/>
              </w:rPr>
              <m:t xml:space="preserve">∆ </m:t>
            </m:r>
            <m:r>
              <w:rPr>
                <w:rFonts w:ascii="Cambria Math" w:hAnsi="Cambria Math"/>
                <w:sz w:val="20"/>
              </w:rPr>
              <m:t>Therms</m:t>
            </m:r>
          </m:e>
          <m:sub>
            <m:r>
              <w:rPr>
                <w:rFonts w:ascii="Cambria Math" w:hAnsi="Cambria Math"/>
                <w:sz w:val="18"/>
              </w:rPr>
              <m:t>1st baseline</m:t>
            </m:r>
          </m:sub>
        </m:sSub>
      </m:oMath>
      <w:r w:rsidR="00894056">
        <w:rPr>
          <w:rFonts w:eastAsiaTheme="minorEastAsia"/>
          <w:sz w:val="18"/>
        </w:rPr>
        <w:t xml:space="preserve"> = </w:t>
      </w:r>
      <m:oMath>
        <m:r>
          <w:rPr>
            <w:rFonts w:ascii="Cambria Math" w:hAnsi="Cambria Math"/>
            <w:sz w:val="18"/>
          </w:rPr>
          <m:t xml:space="preserve">∆ </m:t>
        </m:r>
        <m:r>
          <w:rPr>
            <w:rFonts w:ascii="Cambria Math" w:hAnsi="Cambria Math"/>
            <w:sz w:val="20"/>
          </w:rPr>
          <m:t>Therms</m:t>
        </m:r>
      </m:oMath>
      <w:r w:rsidR="00894056" w:rsidRPr="007F4F16">
        <w:t xml:space="preserve"> over the existing baseline</w:t>
      </w:r>
    </w:p>
    <w:p w14:paraId="09B170B8" w14:textId="77777777" w:rsidR="00894056" w:rsidRPr="001754F3" w:rsidRDefault="00894056" w:rsidP="00894056">
      <w:pPr>
        <w:rPr>
          <w:rFonts w:eastAsiaTheme="minorEastAsia"/>
          <w:sz w:val="20"/>
        </w:rPr>
      </w:pPr>
    </w:p>
    <w:p w14:paraId="773E0168" w14:textId="77777777" w:rsidR="00894056" w:rsidRDefault="009D6009" w:rsidP="00894056">
      <m:oMath>
        <m:sSub>
          <m:sSubPr>
            <m:ctrlPr>
              <w:rPr>
                <w:rFonts w:ascii="Cambria Math" w:hAnsi="Cambria Math"/>
                <w:i/>
                <w:sz w:val="18"/>
              </w:rPr>
            </m:ctrlPr>
          </m:sSubPr>
          <m:e>
            <m:r>
              <w:rPr>
                <w:rFonts w:ascii="Cambria Math" w:hAnsi="Cambria Math"/>
                <w:sz w:val="18"/>
              </w:rPr>
              <m:t>∆ MWh</m:t>
            </m:r>
          </m:e>
          <m:sub>
            <m:r>
              <w:rPr>
                <w:rFonts w:ascii="Cambria Math" w:hAnsi="Cambria Math"/>
                <w:sz w:val="18"/>
              </w:rPr>
              <m:t>2nd baseline</m:t>
            </m:r>
          </m:sub>
        </m:sSub>
      </m:oMath>
      <w:r w:rsidR="00894056">
        <w:rPr>
          <w:rFonts w:eastAsiaTheme="minorEastAsia"/>
          <w:sz w:val="18"/>
        </w:rPr>
        <w:t xml:space="preserve"> = </w:t>
      </w:r>
      <m:oMath>
        <m:r>
          <w:rPr>
            <w:rFonts w:ascii="Cambria Math" w:hAnsi="Cambria Math"/>
            <w:sz w:val="18"/>
          </w:rPr>
          <m:t xml:space="preserve">∆ MWh </m:t>
        </m:r>
      </m:oMath>
      <w:r w:rsidR="00894056">
        <w:t xml:space="preserve">over </w:t>
      </w:r>
      <w:r w:rsidR="00894056" w:rsidRPr="007F4F16">
        <w:t>code</w:t>
      </w:r>
      <w:r w:rsidR="00894056">
        <w:t>/ISP</w:t>
      </w:r>
      <w:r w:rsidR="00894056" w:rsidRPr="007F4F16">
        <w:t xml:space="preserve"> </w:t>
      </w:r>
      <w:r w:rsidR="00894056">
        <w:t>baseline</w:t>
      </w:r>
    </w:p>
    <w:p w14:paraId="20C8FD51" w14:textId="77777777" w:rsidR="00894056" w:rsidRDefault="00894056" w:rsidP="00894056">
      <w:pPr>
        <w:rPr>
          <w:rFonts w:eastAsiaTheme="minorEastAsia"/>
          <w:sz w:val="18"/>
        </w:rPr>
      </w:pPr>
    </w:p>
    <w:p w14:paraId="59AAD16F" w14:textId="77777777" w:rsidR="00894056" w:rsidRPr="00B738F7" w:rsidRDefault="009D6009" w:rsidP="00894056">
      <m:oMath>
        <m:sSub>
          <m:sSubPr>
            <m:ctrlPr>
              <w:rPr>
                <w:rFonts w:ascii="Cambria Math" w:hAnsi="Cambria Math"/>
                <w:i/>
                <w:sz w:val="18"/>
              </w:rPr>
            </m:ctrlPr>
          </m:sSubPr>
          <m:e>
            <m:r>
              <w:rPr>
                <w:rFonts w:ascii="Cambria Math" w:hAnsi="Cambria Math"/>
                <w:sz w:val="18"/>
              </w:rPr>
              <m:t xml:space="preserve">∆ </m:t>
            </m:r>
            <m:r>
              <w:rPr>
                <w:rFonts w:ascii="Cambria Math" w:hAnsi="Cambria Math"/>
                <w:sz w:val="20"/>
              </w:rPr>
              <m:t>Therms</m:t>
            </m:r>
          </m:e>
          <m:sub>
            <m:r>
              <w:rPr>
                <w:rFonts w:ascii="Cambria Math" w:hAnsi="Cambria Math"/>
                <w:sz w:val="18"/>
              </w:rPr>
              <m:t>2nd baseline</m:t>
            </m:r>
          </m:sub>
        </m:sSub>
      </m:oMath>
      <w:r w:rsidR="00894056">
        <w:rPr>
          <w:rFonts w:eastAsiaTheme="minorEastAsia"/>
          <w:sz w:val="18"/>
        </w:rPr>
        <w:t xml:space="preserve"> = </w:t>
      </w:r>
      <m:oMath>
        <m:r>
          <w:rPr>
            <w:rFonts w:ascii="Cambria Math" w:hAnsi="Cambria Math"/>
            <w:sz w:val="18"/>
          </w:rPr>
          <m:t xml:space="preserve">∆ </m:t>
        </m:r>
        <m:r>
          <w:rPr>
            <w:rFonts w:ascii="Cambria Math" w:hAnsi="Cambria Math"/>
            <w:sz w:val="20"/>
          </w:rPr>
          <m:t>Therms</m:t>
        </m:r>
      </m:oMath>
      <w:r w:rsidR="00894056" w:rsidRPr="007F4F16">
        <w:t xml:space="preserve"> </w:t>
      </w:r>
      <w:r w:rsidR="00894056">
        <w:t xml:space="preserve">over </w:t>
      </w:r>
      <w:r w:rsidR="00894056" w:rsidRPr="007F4F16">
        <w:t>code</w:t>
      </w:r>
      <w:r w:rsidR="00894056">
        <w:t>/ISP</w:t>
      </w:r>
      <w:r w:rsidR="00894056" w:rsidRPr="007F4F16">
        <w:t xml:space="preserve"> </w:t>
      </w:r>
      <w:r w:rsidR="00894056">
        <w:t>baseline</w:t>
      </w:r>
    </w:p>
    <w:p w14:paraId="09317455" w14:textId="77777777" w:rsidR="00894056" w:rsidRDefault="00894056" w:rsidP="00894056"/>
    <w:p w14:paraId="49488EA9" w14:textId="77777777" w:rsidR="00894056" w:rsidRDefault="00894056" w:rsidP="00894056">
      <w:r w:rsidRPr="00E9435E">
        <w:t xml:space="preserve">The units for the values are included with-in </w:t>
      </w:r>
      <w:proofErr w:type="gramStart"/>
      <w:r w:rsidRPr="00E9435E">
        <w:t>[ ]</w:t>
      </w:r>
      <w:proofErr w:type="gramEnd"/>
      <w:r w:rsidRPr="00E9435E">
        <w:t xml:space="preserve">. </w:t>
      </w:r>
    </w:p>
    <w:p w14:paraId="7F95C28E" w14:textId="77777777" w:rsidR="00894056" w:rsidRPr="00E9435E" w:rsidRDefault="00894056" w:rsidP="00894056">
      <w:pPr>
        <w:rPr>
          <w:rFonts w:eastAsiaTheme="minorEastAsia"/>
          <w:sz w:val="20"/>
        </w:rPr>
      </w:pPr>
    </w:p>
    <w:p w14:paraId="2F55C7A2" w14:textId="77777777" w:rsidR="00894056" w:rsidRPr="00E9435E" w:rsidRDefault="00894056" w:rsidP="00894056">
      <w:r w:rsidRPr="00E9435E">
        <w:lastRenderedPageBreak/>
        <w:t>The EUL and RUL values corresponds to the measure technology.</w:t>
      </w:r>
      <w:r w:rsidRPr="00E9435E" w:rsidDel="00743F8B">
        <w:t xml:space="preserve"> </w:t>
      </w:r>
    </w:p>
    <w:p w14:paraId="08D86A0C" w14:textId="77777777" w:rsidR="00894056" w:rsidRPr="00E9435E" w:rsidRDefault="00894056" w:rsidP="00894056">
      <w:r w:rsidRPr="00E9435E">
        <w:t xml:space="preserve"> </w:t>
      </w:r>
    </w:p>
    <w:p w14:paraId="120E1C96" w14:textId="3CD086BF" w:rsidR="078AB0DA" w:rsidRPr="00EA3AEA" w:rsidRDefault="078AB0DA" w:rsidP="00EA3AEA">
      <w:pPr>
        <w:rPr>
          <w:rFonts w:eastAsiaTheme="majorEastAsia" w:cstheme="majorBidi"/>
          <w:color w:val="00516F" w:themeColor="accent1" w:themeShade="7F"/>
          <w:sz w:val="24"/>
          <w:szCs w:val="24"/>
        </w:rPr>
      </w:pPr>
      <w:r w:rsidRPr="00EA3AEA">
        <w:rPr>
          <w:rFonts w:eastAsiaTheme="majorEastAsia" w:cstheme="majorBidi"/>
          <w:color w:val="00516F" w:themeColor="accent1" w:themeShade="7F"/>
          <w:sz w:val="24"/>
          <w:szCs w:val="24"/>
        </w:rPr>
        <w:t>Section 2</w:t>
      </w:r>
      <w:r w:rsidR="00EA3AEA">
        <w:rPr>
          <w:rFonts w:eastAsiaTheme="majorEastAsia" w:cstheme="majorBidi"/>
          <w:color w:val="00516F" w:themeColor="accent1" w:themeShade="7F"/>
          <w:sz w:val="24"/>
          <w:szCs w:val="24"/>
        </w:rPr>
        <w:t>.3</w:t>
      </w:r>
      <w:r w:rsidR="4CF1B6BF" w:rsidRPr="00EA3AEA">
        <w:rPr>
          <w:rFonts w:eastAsiaTheme="majorEastAsia" w:cstheme="majorBidi"/>
          <w:color w:val="00516F" w:themeColor="accent1" w:themeShade="7F"/>
          <w:sz w:val="24"/>
          <w:szCs w:val="24"/>
        </w:rPr>
        <w:t>: Results</w:t>
      </w:r>
    </w:p>
    <w:p w14:paraId="6344AE40" w14:textId="77777777" w:rsidR="00894056" w:rsidRDefault="00894056" w:rsidP="00894056"/>
    <w:p w14:paraId="5CDDB9AB" w14:textId="43414D70" w:rsidR="00894056" w:rsidRPr="006D2239" w:rsidRDefault="00894056" w:rsidP="00894056">
      <w:r>
        <w:t>Section 2</w:t>
      </w:r>
      <w:r w:rsidR="00EA3AEA">
        <w:t>.3</w:t>
      </w:r>
      <w:r w:rsidR="7612F9F3">
        <w:t xml:space="preserve"> of the tool provides the cumulative results of the fuel s</w:t>
      </w:r>
      <w:r w:rsidR="3A72B0BB">
        <w:t xml:space="preserve">ubstitution </w:t>
      </w:r>
      <w:r w:rsidR="7612F9F3">
        <w:t>test for the measure</w:t>
      </w:r>
      <w:r w:rsidR="3A72B0BB">
        <w:t>(s). To pass the fuel substit</w:t>
      </w:r>
      <w:r w:rsidR="36A17ADB">
        <w:t xml:space="preserve">ution </w:t>
      </w:r>
      <w:r w:rsidR="3A72B0BB">
        <w:t xml:space="preserve">test, all measures must pass both </w:t>
      </w:r>
      <w:r w:rsidR="007F795F">
        <w:t>Part One</w:t>
      </w:r>
      <w:r w:rsidR="3A72B0BB">
        <w:t xml:space="preserve"> and </w:t>
      </w:r>
      <w:r w:rsidR="007F795F">
        <w:t>Part Two</w:t>
      </w:r>
      <w:r w:rsidR="36A17ADB">
        <w:t>. Measures which pass the fuel substitution test are eligible to rec</w:t>
      </w:r>
      <w:r w:rsidR="0A8E63AE">
        <w:t>eive energy efficiency incentives.</w:t>
      </w:r>
      <w:r w:rsidR="36A17ADB" w:rsidRPr="2979D8AB">
        <w:t xml:space="preserve"> </w:t>
      </w:r>
      <w:r w:rsidR="0A8E63AE">
        <w:t xml:space="preserve">Measures must still be approved by the </w:t>
      </w:r>
      <w:r w:rsidR="0081590E">
        <w:t>CPUC</w:t>
      </w:r>
      <w:r w:rsidR="0A8E63AE">
        <w:t xml:space="preserve"> through the workpaper or custom processes.</w:t>
      </w:r>
      <w:r w:rsidR="014F6A66">
        <w:t xml:space="preserve"> Workpapers and custom filings should include evidence that the measure passed the fuel sub</w:t>
      </w:r>
      <w:r w:rsidR="2979D8AB">
        <w:t xml:space="preserve">stitution test, such as an attachment of fuel substitution </w:t>
      </w:r>
      <w:r w:rsidR="0FF90C0F">
        <w:t>calculator completed with the relevant measure inputs.</w:t>
      </w:r>
    </w:p>
    <w:p w14:paraId="4128CEF4" w14:textId="77777777" w:rsidR="00894056" w:rsidRPr="00466324" w:rsidRDefault="00894056" w:rsidP="00894056"/>
    <w:p w14:paraId="55984DD1" w14:textId="20948AE6" w:rsidR="00894056" w:rsidRDefault="31381829" w:rsidP="00AB2BFB">
      <w:pPr>
        <w:pStyle w:val="Heading2"/>
      </w:pPr>
      <w:bookmarkStart w:id="95" w:name="_Toc23250006"/>
      <w:r>
        <w:t xml:space="preserve">Section 3: </w:t>
      </w:r>
      <w:r w:rsidR="00894056">
        <w:t>Reporting Energy Savings and Energy Savings Inputs into CET</w:t>
      </w:r>
      <w:bookmarkEnd w:id="95"/>
    </w:p>
    <w:p w14:paraId="4EEE2956" w14:textId="77777777" w:rsidR="00894056" w:rsidRPr="00187D71" w:rsidRDefault="00894056" w:rsidP="00894056"/>
    <w:p w14:paraId="21B49CFD" w14:textId="3AC820CF" w:rsidR="00894056" w:rsidRDefault="00894056" w:rsidP="00894056">
      <w:r>
        <w:t>Section 3 of the tool calculates the full energy savings and units based on the user entry of the new fuel type in Section</w:t>
      </w:r>
      <w:r w:rsidR="0008474D">
        <w:t xml:space="preserve"> </w:t>
      </w:r>
      <w:r>
        <w:t xml:space="preserve">1. Section 3 also </w:t>
      </w:r>
      <w:r w:rsidR="00742F49">
        <w:t>outputs</w:t>
      </w:r>
      <w:r>
        <w:t xml:space="preserve"> the 1</w:t>
      </w:r>
      <w:r w:rsidRPr="00A8081E">
        <w:rPr>
          <w:vertAlign w:val="superscript"/>
        </w:rPr>
        <w:t>st</w:t>
      </w:r>
      <w:r>
        <w:t xml:space="preserve"> and 2</w:t>
      </w:r>
      <w:r w:rsidRPr="00A8081E">
        <w:rPr>
          <w:vertAlign w:val="superscript"/>
        </w:rPr>
        <w:t>nd</w:t>
      </w:r>
      <w:r>
        <w:t xml:space="preserve"> baseline savings that should be used as inputs in the cost-effectiveness tool. </w:t>
      </w:r>
    </w:p>
    <w:p w14:paraId="28F75A19" w14:textId="77777777" w:rsidR="00894056" w:rsidRDefault="00894056" w:rsidP="00894056"/>
    <w:p w14:paraId="073E69F0" w14:textId="77777777" w:rsidR="00187D71" w:rsidRPr="00187D71" w:rsidRDefault="00187D71" w:rsidP="00187D71"/>
    <w:p w14:paraId="58B45BDE" w14:textId="77777777" w:rsidR="00E147A9" w:rsidRPr="00E9435E" w:rsidRDefault="00E147A9">
      <w:pPr>
        <w:spacing w:after="200" w:line="276" w:lineRule="auto"/>
        <w:rPr>
          <w:rFonts w:eastAsiaTheme="majorEastAsia" w:cstheme="majorBidi"/>
          <w:color w:val="00A5DF"/>
          <w:sz w:val="32"/>
          <w:szCs w:val="32"/>
        </w:rPr>
      </w:pPr>
      <w:r w:rsidRPr="00E9435E">
        <w:br w:type="page"/>
      </w:r>
    </w:p>
    <w:p w14:paraId="1F8920C0" w14:textId="27C41EAD" w:rsidR="001C3C1C" w:rsidRPr="00E9435E" w:rsidRDefault="007C505C" w:rsidP="00485877">
      <w:pPr>
        <w:pStyle w:val="Heading1"/>
        <w:numPr>
          <w:ilvl w:val="0"/>
          <w:numId w:val="6"/>
        </w:numPr>
      </w:pPr>
      <w:bookmarkStart w:id="96" w:name="_Toc19112504"/>
      <w:bookmarkStart w:id="97" w:name="_Toc19161289"/>
      <w:bookmarkStart w:id="98" w:name="_Toc19180968"/>
      <w:bookmarkStart w:id="99" w:name="_Toc19186766"/>
      <w:bookmarkStart w:id="100" w:name="_Toc19188070"/>
      <w:bookmarkStart w:id="101" w:name="_Toc19217092"/>
      <w:bookmarkStart w:id="102" w:name="_Toc19217131"/>
      <w:bookmarkStart w:id="103" w:name="_Toc19112505"/>
      <w:bookmarkStart w:id="104" w:name="_Toc19161290"/>
      <w:bookmarkStart w:id="105" w:name="_Toc19180969"/>
      <w:bookmarkStart w:id="106" w:name="_Toc19186767"/>
      <w:bookmarkStart w:id="107" w:name="_Toc19188071"/>
      <w:bookmarkStart w:id="108" w:name="_Toc19217093"/>
      <w:bookmarkStart w:id="109" w:name="_Toc19217132"/>
      <w:bookmarkStart w:id="110" w:name="_Toc19112506"/>
      <w:bookmarkStart w:id="111" w:name="_Toc19161291"/>
      <w:bookmarkStart w:id="112" w:name="_Toc19180970"/>
      <w:bookmarkStart w:id="113" w:name="_Toc19186768"/>
      <w:bookmarkStart w:id="114" w:name="_Toc19188072"/>
      <w:bookmarkStart w:id="115" w:name="_Toc19217094"/>
      <w:bookmarkStart w:id="116" w:name="_Toc19217133"/>
      <w:bookmarkStart w:id="117" w:name="_Toc19112507"/>
      <w:bookmarkStart w:id="118" w:name="_Toc19161292"/>
      <w:bookmarkStart w:id="119" w:name="_Toc19180971"/>
      <w:bookmarkStart w:id="120" w:name="_Toc19186769"/>
      <w:bookmarkStart w:id="121" w:name="_Toc19188073"/>
      <w:bookmarkStart w:id="122" w:name="_Toc19217095"/>
      <w:bookmarkStart w:id="123" w:name="_Toc19217134"/>
      <w:bookmarkStart w:id="124" w:name="_Toc19112508"/>
      <w:bookmarkStart w:id="125" w:name="_Toc19161293"/>
      <w:bookmarkStart w:id="126" w:name="_Toc19180972"/>
      <w:bookmarkStart w:id="127" w:name="_Toc19186770"/>
      <w:bookmarkStart w:id="128" w:name="_Toc19188074"/>
      <w:bookmarkStart w:id="129" w:name="_Toc19217096"/>
      <w:bookmarkStart w:id="130" w:name="_Toc1921713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E9435E">
        <w:lastRenderedPageBreak/>
        <w:t xml:space="preserve"> </w:t>
      </w:r>
      <w:bookmarkStart w:id="131" w:name="_Toc20765374"/>
      <w:bookmarkStart w:id="132" w:name="_Toc23250007"/>
      <w:r w:rsidRPr="00E9435E">
        <w:t xml:space="preserve">Claimed EE Savings - </w:t>
      </w:r>
      <w:r w:rsidR="001C3C1C" w:rsidRPr="00E9435E">
        <w:t>Calculation Examples</w:t>
      </w:r>
      <w:bookmarkEnd w:id="131"/>
      <w:bookmarkEnd w:id="132"/>
    </w:p>
    <w:p w14:paraId="1FE16978" w14:textId="74675E92" w:rsidR="00E147A9" w:rsidRPr="00E9435E" w:rsidRDefault="00E147A9" w:rsidP="00E147A9"/>
    <w:p w14:paraId="50D885B6" w14:textId="139A6608" w:rsidR="005B6B52" w:rsidRPr="00E144FC" w:rsidRDefault="00E147A9" w:rsidP="00E144FC">
      <w:r w:rsidRPr="00E9435E">
        <w:t xml:space="preserve">This chapter explains the fuel substitution test and calculation methodology </w:t>
      </w:r>
      <w:r w:rsidR="008864D5" w:rsidRPr="00E9435E">
        <w:t>th</w:t>
      </w:r>
      <w:r w:rsidR="00ED05AD">
        <w:t>r</w:t>
      </w:r>
      <w:r w:rsidR="008864D5" w:rsidRPr="00E9435E">
        <w:t xml:space="preserve">ough </w:t>
      </w:r>
      <w:r w:rsidR="0BF49316" w:rsidRPr="00E9435E">
        <w:t>a</w:t>
      </w:r>
      <w:r w:rsidR="3FBED579" w:rsidRPr="00E9435E">
        <w:t xml:space="preserve"> </w:t>
      </w:r>
      <w:r w:rsidR="0BF49316" w:rsidRPr="00E9435E">
        <w:t>hypothetical example</w:t>
      </w:r>
      <w:r w:rsidR="008864D5" w:rsidRPr="00E9435E">
        <w:t xml:space="preserve">. </w:t>
      </w:r>
      <w:r w:rsidR="00A03501">
        <w:t xml:space="preserve">The </w:t>
      </w:r>
      <w:r w:rsidR="00100A36">
        <w:t xml:space="preserve">data used in </w:t>
      </w:r>
      <w:r w:rsidR="3FBED579">
        <w:t xml:space="preserve">this example </w:t>
      </w:r>
      <w:r w:rsidR="00100A36">
        <w:t xml:space="preserve">is for illustration purposes and may not represent </w:t>
      </w:r>
      <w:r w:rsidR="004D1007">
        <w:t xml:space="preserve">an actual project. </w:t>
      </w:r>
      <w:r w:rsidR="00A03501" w:rsidRPr="3FBED579">
        <w:t xml:space="preserve"> </w:t>
      </w:r>
    </w:p>
    <w:p w14:paraId="1D8E7827" w14:textId="60332E0E" w:rsidR="005B6B52" w:rsidRDefault="005B6B52" w:rsidP="005B6B52"/>
    <w:p w14:paraId="267AB73D" w14:textId="2689F1F5" w:rsidR="00E144FC" w:rsidRDefault="00E144FC" w:rsidP="005B6B52">
      <w:pPr>
        <w:rPr>
          <w:rFonts w:eastAsiaTheme="majorEastAsia" w:cstheme="majorBidi"/>
          <w:b/>
          <w:bCs/>
          <w:color w:val="007BA7" w:themeColor="accent1" w:themeShade="BF"/>
          <w:sz w:val="26"/>
          <w:szCs w:val="26"/>
        </w:rPr>
      </w:pPr>
      <w:r>
        <w:rPr>
          <w:rFonts w:eastAsiaTheme="majorEastAsia" w:cstheme="majorBidi"/>
          <w:b/>
          <w:bCs/>
          <w:color w:val="007BA7" w:themeColor="accent1" w:themeShade="BF"/>
          <w:sz w:val="26"/>
          <w:szCs w:val="26"/>
        </w:rPr>
        <w:t>Natur</w:t>
      </w:r>
      <w:r w:rsidRPr="00E144FC">
        <w:rPr>
          <w:rFonts w:eastAsiaTheme="majorEastAsia" w:cstheme="majorBidi"/>
          <w:b/>
          <w:bCs/>
          <w:color w:val="007BA7" w:themeColor="accent1" w:themeShade="BF"/>
          <w:sz w:val="26"/>
          <w:szCs w:val="26"/>
        </w:rPr>
        <w:t>al Gas to Electric Fuel Substitution – Normal Replacement</w:t>
      </w:r>
    </w:p>
    <w:p w14:paraId="15140B6A" w14:textId="77777777" w:rsidR="00E144FC" w:rsidRPr="00E144FC" w:rsidRDefault="00E144FC" w:rsidP="005B6B52">
      <w:pPr>
        <w:rPr>
          <w:rFonts w:eastAsiaTheme="majorEastAsia" w:cstheme="majorBidi"/>
          <w:b/>
          <w:bCs/>
          <w:color w:val="007BA7" w:themeColor="accent1" w:themeShade="BF"/>
          <w:sz w:val="26"/>
          <w:szCs w:val="26"/>
        </w:rPr>
      </w:pPr>
    </w:p>
    <w:p w14:paraId="7DA42C42" w14:textId="31FDEE9F" w:rsidR="005B6B52" w:rsidRPr="00E9435E" w:rsidRDefault="005B6B52" w:rsidP="005B6B52">
      <w:r w:rsidRPr="00E9435E">
        <w:rPr>
          <w:i/>
        </w:rPr>
        <w:t>Scenario:</w:t>
      </w:r>
      <w:r w:rsidRPr="00E9435E">
        <w:t xml:space="preserve"> A residential customer </w:t>
      </w:r>
      <w:r w:rsidR="00FB0D10" w:rsidRPr="00E9435E">
        <w:t xml:space="preserve">in </w:t>
      </w:r>
      <w:r w:rsidR="0008474D">
        <w:t>C</w:t>
      </w:r>
      <w:r w:rsidR="00FB0D10" w:rsidRPr="00E9435E">
        <w:t xml:space="preserve">limate </w:t>
      </w:r>
      <w:r w:rsidR="0008474D">
        <w:t>Z</w:t>
      </w:r>
      <w:r w:rsidR="00FB0D10" w:rsidRPr="00E9435E">
        <w:t xml:space="preserve">one 9 </w:t>
      </w:r>
      <w:r w:rsidRPr="00E9435E">
        <w:t xml:space="preserve">would like to replace their 25-year-old 3-ton central air-conditioning with direct-expansion cooling and gas furnace heating (DXGF). The equipment efficiency rating is SEER10 and 78% AFUE. The customer is considering </w:t>
      </w:r>
      <w:r w:rsidR="007B58B7">
        <w:t>installing</w:t>
      </w:r>
      <w:r w:rsidR="007B58B7" w:rsidRPr="00E9435E">
        <w:t xml:space="preserve"> </w:t>
      </w:r>
      <w:r w:rsidR="002317CC" w:rsidRPr="00E9435E">
        <w:t xml:space="preserve">a </w:t>
      </w:r>
      <w:r w:rsidRPr="00E9435E">
        <w:t xml:space="preserve">central </w:t>
      </w:r>
      <w:r w:rsidR="004C2FEE">
        <w:t xml:space="preserve">electric </w:t>
      </w:r>
      <w:r w:rsidRPr="00E9435E">
        <w:t xml:space="preserve">heat pump (DXHP) </w:t>
      </w:r>
      <w:r w:rsidR="00DE0FE7">
        <w:t>that provides</w:t>
      </w:r>
      <w:r w:rsidRPr="00E9435E">
        <w:t xml:space="preserve"> heating and cooling. The expected </w:t>
      </w:r>
      <w:r w:rsidR="000A1821" w:rsidRPr="00E9435E">
        <w:t>equipment operational</w:t>
      </w:r>
      <w:r w:rsidRPr="00E9435E">
        <w:t xml:space="preserve"> date is </w:t>
      </w:r>
      <w:r w:rsidRPr="00E9435E" w:rsidDel="00DB4C47">
        <w:t>May</w:t>
      </w:r>
      <w:r w:rsidR="000A1821" w:rsidRPr="00E9435E">
        <w:t xml:space="preserve"> </w:t>
      </w:r>
      <w:r w:rsidRPr="00E9435E">
        <w:t xml:space="preserve">2020. </w:t>
      </w:r>
    </w:p>
    <w:p w14:paraId="1E42D3BE" w14:textId="77777777" w:rsidR="005B6B52" w:rsidRPr="00E9435E" w:rsidRDefault="005B6B52" w:rsidP="005B6B52"/>
    <w:p w14:paraId="60E07F33" w14:textId="7597900A" w:rsidR="005B6B52" w:rsidRPr="00E9435E" w:rsidRDefault="00DB42C9" w:rsidP="005B6B52">
      <w:r w:rsidRPr="00B53B7B">
        <w:rPr>
          <w:i/>
        </w:rPr>
        <w:t>Eligibility:</w:t>
      </w:r>
      <w:r>
        <w:t xml:space="preserve"> </w:t>
      </w:r>
      <w:r w:rsidR="005B6B52" w:rsidRPr="00E9435E">
        <w:t>This measure is considered fuel substitution because a mixed-use fuel (electricity and natural gas)</w:t>
      </w:r>
      <w:r w:rsidR="00DB4C47">
        <w:t xml:space="preserve"> equipment</w:t>
      </w:r>
      <w:r w:rsidR="005B6B52" w:rsidRPr="00E9435E">
        <w:t xml:space="preserve"> i</w:t>
      </w:r>
      <w:r w:rsidR="002317CC" w:rsidRPr="00E9435E">
        <w:t>s</w:t>
      </w:r>
      <w:r w:rsidR="005B6B52" w:rsidRPr="00E9435E">
        <w:t xml:space="preserve"> being substituted with all electric </w:t>
      </w:r>
      <w:r w:rsidR="00DB4C47">
        <w:t>equipment</w:t>
      </w:r>
      <w:r w:rsidR="005B6B52" w:rsidRPr="00E9435E">
        <w:t xml:space="preserve">. </w:t>
      </w:r>
    </w:p>
    <w:p w14:paraId="1F7CBC7E" w14:textId="77777777" w:rsidR="005B6B52" w:rsidRPr="00E9435E" w:rsidRDefault="005B6B52" w:rsidP="005B6B52"/>
    <w:p w14:paraId="0F57F602" w14:textId="13A50075" w:rsidR="005B6B52" w:rsidRPr="00E9435E" w:rsidRDefault="00DB42C9" w:rsidP="005B6B52">
      <w:r w:rsidRPr="00B53B7B">
        <w:rPr>
          <w:i/>
        </w:rPr>
        <w:t>Measure Application Type:</w:t>
      </w:r>
      <w:r>
        <w:t xml:space="preserve"> </w:t>
      </w:r>
      <w:r w:rsidR="005B6B52" w:rsidRPr="00E9435E">
        <w:t xml:space="preserve">This will be considered </w:t>
      </w:r>
      <w:r w:rsidR="00065AF1">
        <w:t xml:space="preserve">a </w:t>
      </w:r>
      <w:r w:rsidR="002317CC" w:rsidRPr="00E9435E">
        <w:t>normal replace</w:t>
      </w:r>
      <w:r w:rsidR="00065AF1">
        <w:t>ment</w:t>
      </w:r>
      <w:r w:rsidR="002317CC" w:rsidRPr="00E9435E">
        <w:t xml:space="preserve"> (</w:t>
      </w:r>
      <w:r w:rsidR="005B6B52" w:rsidRPr="00E9435E">
        <w:t>NR</w:t>
      </w:r>
      <w:r w:rsidR="002317CC" w:rsidRPr="00E9435E">
        <w:t>)</w:t>
      </w:r>
      <w:r w:rsidR="005B6B52" w:rsidRPr="00E9435E">
        <w:t xml:space="preserve"> because the equipment has passed its effective useful life. </w:t>
      </w:r>
    </w:p>
    <w:p w14:paraId="3C856219" w14:textId="77777777" w:rsidR="005B6B52" w:rsidRPr="00E9435E" w:rsidRDefault="005B6B52" w:rsidP="005B6B52"/>
    <w:p w14:paraId="64113BD6" w14:textId="4EDF1455" w:rsidR="005B6B52" w:rsidRPr="00E9435E" w:rsidRDefault="005C29D6" w:rsidP="005B6B52">
      <w:r w:rsidRPr="00D31787">
        <w:rPr>
          <w:i/>
          <w:iCs/>
        </w:rPr>
        <w:t>B</w:t>
      </w:r>
      <w:r w:rsidR="005B6B52" w:rsidRPr="00B13D55">
        <w:rPr>
          <w:i/>
          <w:iCs/>
        </w:rPr>
        <w:t xml:space="preserve">aseline </w:t>
      </w:r>
      <w:r w:rsidRPr="00B13D55">
        <w:rPr>
          <w:i/>
          <w:iCs/>
        </w:rPr>
        <w:t>C</w:t>
      </w:r>
      <w:r w:rsidR="005B6B52" w:rsidRPr="00B13D55">
        <w:rPr>
          <w:i/>
          <w:iCs/>
        </w:rPr>
        <w:t xml:space="preserve">omparison </w:t>
      </w:r>
      <w:r w:rsidRPr="00B13D55">
        <w:rPr>
          <w:i/>
          <w:iCs/>
        </w:rPr>
        <w:t>T</w:t>
      </w:r>
      <w:r w:rsidR="005B6B52" w:rsidRPr="762667E3">
        <w:rPr>
          <w:i/>
          <w:iCs/>
        </w:rPr>
        <w:t>echnolog</w:t>
      </w:r>
      <w:r w:rsidR="005B6B52" w:rsidRPr="005C29D6">
        <w:t>y</w:t>
      </w:r>
      <w:r w:rsidRPr="762667E3">
        <w:t xml:space="preserve">: </w:t>
      </w:r>
      <w:r w:rsidR="005B6B52" w:rsidRPr="00E9435E">
        <w:t>DXGF meeting the preva</w:t>
      </w:r>
      <w:r w:rsidR="002448C8">
        <w:t>iling</w:t>
      </w:r>
      <w:r w:rsidR="005B6B52" w:rsidRPr="00E9435E">
        <w:t xml:space="preserve"> code in May 2020. Title-20 2019</w:t>
      </w:r>
      <w:r w:rsidR="005B6B52" w:rsidRPr="00E9435E">
        <w:rPr>
          <w:rStyle w:val="FootnoteReference"/>
        </w:rPr>
        <w:footnoteReference w:id="26"/>
      </w:r>
      <w:r w:rsidR="005B6B52" w:rsidRPr="00E9435E">
        <w:t xml:space="preserve"> which </w:t>
      </w:r>
      <w:r w:rsidR="000E5972" w:rsidRPr="00E9435E">
        <w:t>w</w:t>
      </w:r>
      <w:r w:rsidR="000E5972">
        <w:t>ill</w:t>
      </w:r>
      <w:r w:rsidR="000E5972" w:rsidRPr="762667E3">
        <w:t xml:space="preserve"> </w:t>
      </w:r>
      <w:r w:rsidR="005B6B52" w:rsidRPr="00E9435E">
        <w:t xml:space="preserve">be </w:t>
      </w:r>
      <w:r w:rsidR="000E5972">
        <w:t xml:space="preserve">the </w:t>
      </w:r>
      <w:r w:rsidR="00633268" w:rsidRPr="00E9435E">
        <w:t>preva</w:t>
      </w:r>
      <w:r w:rsidR="00633268">
        <w:t>lent</w:t>
      </w:r>
      <w:r w:rsidR="00B336D3" w:rsidRPr="762667E3">
        <w:t xml:space="preserve"> </w:t>
      </w:r>
      <w:r w:rsidR="005B6B52" w:rsidRPr="00E9435E">
        <w:t xml:space="preserve">code in 2020 requires SEER14 and 82% AFUE for central residential AC units. </w:t>
      </w:r>
    </w:p>
    <w:p w14:paraId="04316A05" w14:textId="77777777" w:rsidR="005B6B52" w:rsidRPr="00E9435E" w:rsidRDefault="005B6B52" w:rsidP="005B6B52"/>
    <w:p w14:paraId="76BCFD28" w14:textId="3F458B0D" w:rsidR="005B6B52" w:rsidRPr="00E9435E" w:rsidRDefault="004471DB" w:rsidP="005B6B52">
      <w:r w:rsidRPr="00B53B7B">
        <w:rPr>
          <w:i/>
        </w:rPr>
        <w:t>M</w:t>
      </w:r>
      <w:r w:rsidR="005B6B52" w:rsidRPr="00B53B7B">
        <w:rPr>
          <w:i/>
        </w:rPr>
        <w:t xml:space="preserve">easure </w:t>
      </w:r>
      <w:r w:rsidRPr="00B53B7B">
        <w:rPr>
          <w:i/>
        </w:rPr>
        <w:t>T</w:t>
      </w:r>
      <w:r w:rsidR="005B6B52" w:rsidRPr="00B53B7B">
        <w:rPr>
          <w:i/>
        </w:rPr>
        <w:t>echnology</w:t>
      </w:r>
      <w:r w:rsidRPr="00B53B7B">
        <w:rPr>
          <w:i/>
        </w:rPr>
        <w:t>:</w:t>
      </w:r>
      <w:r>
        <w:t xml:space="preserve"> </w:t>
      </w:r>
      <w:r w:rsidR="005B6B52" w:rsidRPr="00E9435E">
        <w:t xml:space="preserve">DXHP </w:t>
      </w:r>
      <w:r w:rsidR="00265C2C">
        <w:t xml:space="preserve">exceeding </w:t>
      </w:r>
      <w:r w:rsidR="005B6B52" w:rsidRPr="00E9435E">
        <w:t>the code requirements</w:t>
      </w:r>
      <w:r w:rsidR="00590017">
        <w:t>. To</w:t>
      </w:r>
      <w:r w:rsidR="005B6B52" w:rsidRPr="00E9435E">
        <w:t xml:space="preserve"> be eligible for </w:t>
      </w:r>
      <w:r w:rsidR="00DB672E" w:rsidRPr="00E9435E">
        <w:t xml:space="preserve">NR </w:t>
      </w:r>
      <w:r w:rsidR="008E5D35" w:rsidRPr="00E9435E">
        <w:t>measure application type</w:t>
      </w:r>
      <w:r w:rsidR="005B6B52" w:rsidRPr="00E9435E">
        <w:t xml:space="preserve">, the proposed measure </w:t>
      </w:r>
      <w:r w:rsidR="00265C2C">
        <w:t xml:space="preserve">is </w:t>
      </w:r>
      <w:r w:rsidR="00DF7A93">
        <w:t>required to</w:t>
      </w:r>
      <w:r w:rsidR="00DF7A93" w:rsidRPr="00E9435E">
        <w:t xml:space="preserve"> </w:t>
      </w:r>
      <w:r w:rsidR="005B6B52" w:rsidRPr="00E9435E">
        <w:t xml:space="preserve">exceed the prevalent code. Title 20 </w:t>
      </w:r>
      <w:r w:rsidR="00B9711F" w:rsidRPr="00E9435E">
        <w:t xml:space="preserve">requires </w:t>
      </w:r>
      <w:r w:rsidR="005B6B52" w:rsidRPr="00E9435E">
        <w:t xml:space="preserve">SEER14 and 8.2 HSPF for DXHP. Hence, the measure technology should be at least SEER15 and 8.7 HSPF. </w:t>
      </w:r>
    </w:p>
    <w:p w14:paraId="4B48E257" w14:textId="77777777" w:rsidR="005B6B52" w:rsidRPr="00E9435E" w:rsidRDefault="005B6B52" w:rsidP="005B6B52"/>
    <w:p w14:paraId="461FF25B" w14:textId="1669F67A" w:rsidR="005B6B52" w:rsidRPr="00E9435E" w:rsidRDefault="002870E8" w:rsidP="005B6B52">
      <w:r w:rsidRPr="00B53B7B">
        <w:rPr>
          <w:i/>
        </w:rPr>
        <w:t>Energy Savings Calculations:</w:t>
      </w:r>
      <w:r>
        <w:t xml:space="preserve"> </w:t>
      </w:r>
      <w:r w:rsidR="005B6B52" w:rsidRPr="00E9435E">
        <w:t>The site</w:t>
      </w:r>
      <w:r w:rsidR="00590017">
        <w:t>-</w:t>
      </w:r>
      <w:r w:rsidR="005B6B52" w:rsidRPr="00E9435E">
        <w:t xml:space="preserve">level energy </w:t>
      </w:r>
      <w:r w:rsidR="00E051E6" w:rsidRPr="00E9435E">
        <w:t>savings</w:t>
      </w:r>
      <w:r w:rsidR="002317CC" w:rsidRPr="00E9435E">
        <w:t xml:space="preserve"> </w:t>
      </w:r>
      <w:r w:rsidR="005B6B52" w:rsidRPr="00E9435E">
        <w:t xml:space="preserve">were calculated using </w:t>
      </w:r>
      <w:r w:rsidR="00374ABC" w:rsidRPr="00E9435E">
        <w:t xml:space="preserve">CPUC’s supported </w:t>
      </w:r>
      <w:r w:rsidR="005B6B52" w:rsidRPr="00E9435E">
        <w:t>building simulation tools</w:t>
      </w:r>
      <w:r w:rsidR="00374ABC" w:rsidRPr="00E9435E">
        <w:t xml:space="preserve"> and prototypical documentation</w:t>
      </w:r>
      <w:r w:rsidR="005B6B52" w:rsidRPr="00E9435E">
        <w:t xml:space="preserve"> to be -1,093 kWh/year and 180 </w:t>
      </w:r>
      <w:proofErr w:type="spellStart"/>
      <w:r w:rsidR="002A12B2">
        <w:t>Therm</w:t>
      </w:r>
      <w:proofErr w:type="spellEnd"/>
      <w:r w:rsidR="005B6B52" w:rsidRPr="00E9435E">
        <w:t xml:space="preserve">/year. </w:t>
      </w:r>
      <w:r w:rsidR="009F5D42">
        <w:t>The n</w:t>
      </w:r>
      <w:r w:rsidR="005B6B52" w:rsidRPr="00E9435E">
        <w:t>egative kWh indicate</w:t>
      </w:r>
      <w:r w:rsidR="002317CC" w:rsidRPr="00E9435E">
        <w:t>s</w:t>
      </w:r>
      <w:r w:rsidR="005B6B52" w:rsidRPr="00E9435E">
        <w:t xml:space="preserve"> </w:t>
      </w:r>
      <w:r w:rsidR="00EF4232" w:rsidRPr="00E9435E">
        <w:t xml:space="preserve">increase in </w:t>
      </w:r>
      <w:r w:rsidR="005B6B52" w:rsidRPr="00E9435E">
        <w:t xml:space="preserve">electricity usage </w:t>
      </w:r>
      <w:r w:rsidR="00EF4232" w:rsidRPr="00E9435E">
        <w:t xml:space="preserve">when </w:t>
      </w:r>
      <w:r w:rsidR="001B4989" w:rsidRPr="00E9435E">
        <w:t>natural gas space heating is substituted with electric space heating</w:t>
      </w:r>
      <w:r w:rsidR="005B6B52" w:rsidRPr="00E9435E">
        <w:t xml:space="preserve">.  </w:t>
      </w:r>
      <w:r w:rsidR="002317CC" w:rsidRPr="00E9435E">
        <w:t xml:space="preserve">Positive </w:t>
      </w:r>
      <w:proofErr w:type="spellStart"/>
      <w:r w:rsidR="002A12B2">
        <w:t>Therm</w:t>
      </w:r>
      <w:proofErr w:type="spellEnd"/>
      <w:r w:rsidR="002317CC" w:rsidRPr="00E9435E">
        <w:t xml:space="preserve"> indicates the </w:t>
      </w:r>
      <w:r w:rsidR="00965727">
        <w:t>natural gas</w:t>
      </w:r>
      <w:r w:rsidR="00965727" w:rsidRPr="00E9435E">
        <w:t xml:space="preserve"> </w:t>
      </w:r>
      <w:r w:rsidR="002317CC" w:rsidRPr="00E9435E">
        <w:t xml:space="preserve">reduction when the </w:t>
      </w:r>
      <w:r w:rsidR="00965727">
        <w:t>gas furnace</w:t>
      </w:r>
      <w:r w:rsidR="00965727" w:rsidRPr="00E9435E">
        <w:t xml:space="preserve"> </w:t>
      </w:r>
      <w:r w:rsidR="002317CC" w:rsidRPr="00E9435E">
        <w:t xml:space="preserve">is </w:t>
      </w:r>
      <w:r w:rsidR="00965727">
        <w:t>displaced</w:t>
      </w:r>
      <w:r w:rsidR="002317CC" w:rsidRPr="00E9435E">
        <w:t>.</w:t>
      </w:r>
    </w:p>
    <w:p w14:paraId="52A1633A" w14:textId="77777777" w:rsidR="005B6B52" w:rsidRPr="00E9435E" w:rsidRDefault="005B6B52" w:rsidP="005B6B52"/>
    <w:p w14:paraId="69702332" w14:textId="3EECC827" w:rsidR="000F0277" w:rsidRPr="00E9435E" w:rsidRDefault="00C7601E" w:rsidP="005B6B52">
      <w:r w:rsidRPr="00B53B7B">
        <w:rPr>
          <w:i/>
        </w:rPr>
        <w:t xml:space="preserve">Fuel Substitution </w:t>
      </w:r>
      <w:r w:rsidR="0033617B" w:rsidRPr="00C7601E">
        <w:rPr>
          <w:i/>
        </w:rPr>
        <w:t xml:space="preserve">Test </w:t>
      </w:r>
      <w:r w:rsidR="007F795F">
        <w:rPr>
          <w:i/>
        </w:rPr>
        <w:t>Part One</w:t>
      </w:r>
      <w:r w:rsidRPr="00B53B7B">
        <w:rPr>
          <w:i/>
        </w:rPr>
        <w:t>:</w:t>
      </w:r>
      <w:r>
        <w:t xml:space="preserve"> </w:t>
      </w:r>
      <w:r w:rsidR="000F0277" w:rsidRPr="00E9435E">
        <w:t>With start year of 2020</w:t>
      </w:r>
      <w:r w:rsidR="001B4A5A" w:rsidRPr="00E9435E">
        <w:t>, EUL of 15 years</w:t>
      </w:r>
      <w:r w:rsidR="000F0277" w:rsidRPr="00E9435E">
        <w:t xml:space="preserve"> and using </w:t>
      </w:r>
      <w:r w:rsidR="000F0277" w:rsidRPr="00E9435E">
        <w:rPr>
          <w:i/>
        </w:rPr>
        <w:t>Equation 1</w:t>
      </w:r>
      <w:r w:rsidR="000F0277" w:rsidRPr="00E9435E">
        <w:t xml:space="preserve"> and the source energy values in </w:t>
      </w:r>
      <w:r w:rsidR="000F0277" w:rsidRPr="00E9435E">
        <w:rPr>
          <w:i/>
        </w:rPr>
        <w:t>Table 1</w:t>
      </w:r>
      <w:r w:rsidR="000F0277" w:rsidRPr="00E9435E">
        <w:t xml:space="preserve"> and </w:t>
      </w:r>
      <w:r w:rsidR="000F0277" w:rsidRPr="00E9435E">
        <w:rPr>
          <w:i/>
        </w:rPr>
        <w:t>Table</w:t>
      </w:r>
      <w:r w:rsidR="00693F58" w:rsidRPr="00E9435E">
        <w:rPr>
          <w:i/>
        </w:rPr>
        <w:t xml:space="preserve"> 2</w:t>
      </w:r>
      <w:r w:rsidR="00693F58" w:rsidRPr="00E9435E">
        <w:t xml:space="preserve">, the life-cycle source savings were calculated to be </w:t>
      </w:r>
      <w:r w:rsidR="00B85CE5" w:rsidRPr="00E9435E">
        <w:t xml:space="preserve">216 </w:t>
      </w:r>
      <w:proofErr w:type="spellStart"/>
      <w:r w:rsidR="00B85CE5" w:rsidRPr="00E9435E">
        <w:t>MB</w:t>
      </w:r>
      <w:r w:rsidR="003C7007" w:rsidRPr="00E9435E">
        <w:t>t</w:t>
      </w:r>
      <w:r w:rsidR="00B85CE5" w:rsidRPr="00E9435E">
        <w:t>u</w:t>
      </w:r>
      <w:proofErr w:type="spellEnd"/>
      <w:r w:rsidR="003C7007" w:rsidRPr="00E9435E">
        <w:t xml:space="preserve">. </w:t>
      </w:r>
    </w:p>
    <w:p w14:paraId="07A5E0D2" w14:textId="77777777" w:rsidR="005B6B52" w:rsidRPr="00E9435E" w:rsidRDefault="005B6B52" w:rsidP="005B6B52"/>
    <w:p w14:paraId="01AE9429" w14:textId="53E2B733" w:rsidR="005B6B52" w:rsidRPr="00E9435E" w:rsidRDefault="0033617B" w:rsidP="005B6B52">
      <w:r w:rsidRPr="00A72648">
        <w:rPr>
          <w:i/>
        </w:rPr>
        <w:t xml:space="preserve">Fuel Substitution Test </w:t>
      </w:r>
      <w:r w:rsidR="007F795F">
        <w:rPr>
          <w:i/>
        </w:rPr>
        <w:t>Part Two</w:t>
      </w:r>
      <w:r>
        <w:rPr>
          <w:i/>
        </w:rPr>
        <w:t xml:space="preserve">: </w:t>
      </w:r>
      <w:r>
        <w:t>A</w:t>
      </w:r>
      <w:r w:rsidR="005B6B52" w:rsidRPr="00E9435E">
        <w:t xml:space="preserve">pplying the emission values from </w:t>
      </w:r>
      <w:r w:rsidR="005B6B52" w:rsidRPr="00E9435E">
        <w:rPr>
          <w:i/>
        </w:rPr>
        <w:t>Table-</w:t>
      </w:r>
      <w:r w:rsidR="003C7007" w:rsidRPr="00E9435E">
        <w:rPr>
          <w:i/>
        </w:rPr>
        <w:t>1</w:t>
      </w:r>
      <w:r w:rsidR="003C7007" w:rsidRPr="00E9435E">
        <w:t xml:space="preserve"> and </w:t>
      </w:r>
      <w:r w:rsidR="003C7007" w:rsidRPr="00E9435E">
        <w:rPr>
          <w:i/>
        </w:rPr>
        <w:t>Table 2</w:t>
      </w:r>
      <w:r w:rsidR="003A61E5" w:rsidRPr="00E9435E">
        <w:t xml:space="preserve"> and using </w:t>
      </w:r>
      <w:r w:rsidR="003A61E5" w:rsidRPr="00E9435E">
        <w:rPr>
          <w:i/>
        </w:rPr>
        <w:t>Equation 2</w:t>
      </w:r>
      <w:r w:rsidR="006D2EB5" w:rsidRPr="00E9435E">
        <w:t xml:space="preserve">, </w:t>
      </w:r>
      <w:r w:rsidR="005B6B52" w:rsidRPr="00E9435E">
        <w:t xml:space="preserve">the </w:t>
      </w:r>
      <w:r w:rsidR="00C10626" w:rsidRPr="00E9435E">
        <w:t>life-cycle</w:t>
      </w:r>
      <w:r w:rsidR="0058366B" w:rsidRPr="00E9435E">
        <w:t xml:space="preserve"> </w:t>
      </w:r>
      <w:r w:rsidR="005B6B52" w:rsidRPr="00E9435E">
        <w:t>CO</w:t>
      </w:r>
      <w:r w:rsidR="005B6B52" w:rsidRPr="00E9435E">
        <w:rPr>
          <w:vertAlign w:val="subscript"/>
        </w:rPr>
        <w:t>2</w:t>
      </w:r>
      <w:r w:rsidR="005B6B52" w:rsidRPr="00E9435E">
        <w:t xml:space="preserve"> savings were calculated </w:t>
      </w:r>
      <w:r w:rsidR="00473A0E" w:rsidRPr="00E9435E">
        <w:t xml:space="preserve">to be </w:t>
      </w:r>
      <w:r w:rsidR="00643103">
        <w:t>11.49</w:t>
      </w:r>
      <w:r w:rsidR="00473A0E" w:rsidRPr="00E9435E">
        <w:t xml:space="preserve"> </w:t>
      </w:r>
      <w:r w:rsidR="008B40F6">
        <w:t xml:space="preserve">metric </w:t>
      </w:r>
      <w:proofErr w:type="spellStart"/>
      <w:r w:rsidR="008B40F6">
        <w:t>tonnes</w:t>
      </w:r>
      <w:proofErr w:type="spellEnd"/>
      <w:r w:rsidR="00473A0E" w:rsidRPr="00E9435E">
        <w:t xml:space="preserve"> of CO</w:t>
      </w:r>
      <w:r w:rsidR="00473A0E" w:rsidRPr="00E9435E">
        <w:rPr>
          <w:vertAlign w:val="subscript"/>
        </w:rPr>
        <w:t>2</w:t>
      </w:r>
      <w:r w:rsidR="00BE1C6C" w:rsidRPr="00E9435E">
        <w:t xml:space="preserve"> savings</w:t>
      </w:r>
      <w:r w:rsidR="005B6B52" w:rsidRPr="00E9435E">
        <w:t xml:space="preserve">. </w:t>
      </w:r>
    </w:p>
    <w:p w14:paraId="2176A165" w14:textId="77777777" w:rsidR="005B6B52" w:rsidRPr="00E9435E" w:rsidRDefault="005B6B52" w:rsidP="005B6B52"/>
    <w:p w14:paraId="5F1A5185" w14:textId="037A3210" w:rsidR="005B6B52" w:rsidRPr="00E9435E" w:rsidRDefault="00B3303D" w:rsidP="005B6B52">
      <w:r w:rsidRPr="00B53B7B">
        <w:rPr>
          <w:i/>
        </w:rPr>
        <w:t xml:space="preserve">Fuel Substitution </w:t>
      </w:r>
      <w:r w:rsidR="00562286">
        <w:rPr>
          <w:i/>
        </w:rPr>
        <w:t xml:space="preserve">Results </w:t>
      </w:r>
      <w:r w:rsidRPr="00B53B7B">
        <w:rPr>
          <w:i/>
        </w:rPr>
        <w:t>(Pass</w:t>
      </w:r>
      <w:r w:rsidR="00562286" w:rsidRPr="00B53B7B">
        <w:rPr>
          <w:i/>
        </w:rPr>
        <w:t>/ Fail):</w:t>
      </w:r>
      <w:r w:rsidR="00562286">
        <w:t xml:space="preserve"> </w:t>
      </w:r>
      <w:r w:rsidR="005B6B52" w:rsidRPr="00E9435E">
        <w:t xml:space="preserve">Since the measure has both </w:t>
      </w:r>
      <w:r w:rsidR="00C10626" w:rsidRPr="00E9435E">
        <w:t>life-cycle</w:t>
      </w:r>
      <w:r w:rsidR="00BE1C6C" w:rsidRPr="00E9435E">
        <w:t xml:space="preserve"> </w:t>
      </w:r>
      <w:r w:rsidR="005B6B52" w:rsidRPr="00E9435E">
        <w:t>source energy and CO</w:t>
      </w:r>
      <w:r w:rsidR="005B6B52" w:rsidRPr="00E9435E">
        <w:rPr>
          <w:vertAlign w:val="subscript"/>
        </w:rPr>
        <w:t>2</w:t>
      </w:r>
      <w:r w:rsidR="005B6B52" w:rsidRPr="00E9435E">
        <w:t xml:space="preserve"> savings, this measure passe</w:t>
      </w:r>
      <w:r w:rsidR="004A7206">
        <w:t>s</w:t>
      </w:r>
      <w:r w:rsidR="005B6B52" w:rsidRPr="00E9435E">
        <w:t xml:space="preserve"> the fuel substitution test. </w:t>
      </w:r>
    </w:p>
    <w:p w14:paraId="0FB64425" w14:textId="77777777" w:rsidR="005B6B52" w:rsidRPr="00E9435E" w:rsidRDefault="005B6B52" w:rsidP="005B6B52"/>
    <w:p w14:paraId="6F6B25EA" w14:textId="6FDD11FB" w:rsidR="00562286" w:rsidRDefault="00562286" w:rsidP="005C4ACD">
      <w:r w:rsidRPr="00B53B7B">
        <w:rPr>
          <w:i/>
        </w:rPr>
        <w:lastRenderedPageBreak/>
        <w:t>CET Input Energy Savings:</w:t>
      </w:r>
      <w:r>
        <w:t xml:space="preserve"> T</w:t>
      </w:r>
      <w:r w:rsidR="005B6B52" w:rsidRPr="00E9435E">
        <w:t>he site</w:t>
      </w:r>
      <w:r w:rsidR="00590017">
        <w:t>-</w:t>
      </w:r>
      <w:r w:rsidR="005B6B52" w:rsidRPr="00E9435E">
        <w:t xml:space="preserve">level savings of -1,093 kWh/year and 180 </w:t>
      </w:r>
      <w:proofErr w:type="spellStart"/>
      <w:r w:rsidR="002A12B2">
        <w:t>Therm</w:t>
      </w:r>
      <w:proofErr w:type="spellEnd"/>
      <w:r w:rsidR="005B6B52" w:rsidRPr="00E9435E">
        <w:t xml:space="preserve">/year will be </w:t>
      </w:r>
      <w:r w:rsidR="002A0368" w:rsidRPr="00E9435E">
        <w:t>used</w:t>
      </w:r>
      <w:r w:rsidR="005B6B52" w:rsidRPr="00E9435E">
        <w:t>.</w:t>
      </w:r>
    </w:p>
    <w:p w14:paraId="7ED71147" w14:textId="77777777" w:rsidR="00562286" w:rsidRDefault="00562286" w:rsidP="005C4ACD"/>
    <w:p w14:paraId="46047888" w14:textId="2D476EE7" w:rsidR="005C4ACD" w:rsidRPr="00E9435E" w:rsidRDefault="00562286" w:rsidP="005C4ACD">
      <w:r w:rsidRPr="00B53B7B">
        <w:rPr>
          <w:i/>
        </w:rPr>
        <w:t>Reporting Energy Savings:</w:t>
      </w:r>
      <w:r>
        <w:t xml:space="preserve"> </w:t>
      </w:r>
      <w:r w:rsidR="005B6B52" w:rsidRPr="00E9435E">
        <w:t xml:space="preserve"> </w:t>
      </w:r>
      <w:r>
        <w:t>T</w:t>
      </w:r>
      <w:r w:rsidR="005B6B52" w:rsidRPr="00E9435E">
        <w:t>he site</w:t>
      </w:r>
      <w:r w:rsidR="00590017">
        <w:t>-</w:t>
      </w:r>
      <w:r w:rsidR="005B6B52" w:rsidRPr="00E9435E">
        <w:t>level savings are converted to new fuel units which is kWh in this case</w:t>
      </w:r>
      <w:r w:rsidR="002A0368" w:rsidRPr="00E9435E">
        <w:t>;</w:t>
      </w:r>
      <w:r w:rsidR="005B6B52" w:rsidRPr="00E9435E">
        <w:t xml:space="preserve"> </w:t>
      </w:r>
      <w:r w:rsidR="002A0368" w:rsidRPr="00E9435E">
        <w:t>t</w:t>
      </w:r>
      <w:r w:rsidR="005B6B52" w:rsidRPr="00E9435E">
        <w:t xml:space="preserve">he </w:t>
      </w:r>
      <w:r w:rsidR="00C45538">
        <w:t xml:space="preserve">converted full energy </w:t>
      </w:r>
      <w:r w:rsidR="005B6B52" w:rsidRPr="00E9435E">
        <w:t>savings will be 4,181 kWh (= -1,093 +(180*29.3))</w:t>
      </w:r>
      <w:r w:rsidR="00B7131F" w:rsidRPr="00E9435E">
        <w:t xml:space="preserve">. </w:t>
      </w:r>
      <w:r w:rsidR="005C4ACD" w:rsidRPr="00E9435E">
        <w:t xml:space="preserve">The split savings and the </w:t>
      </w:r>
      <w:r w:rsidR="002A0368" w:rsidRPr="00E9435E">
        <w:t>normalized</w:t>
      </w:r>
      <w:r w:rsidR="005C4ACD" w:rsidRPr="00E9435E">
        <w:t xml:space="preserve"> savings should be included in the workpaper and the custom project applications. </w:t>
      </w:r>
    </w:p>
    <w:p w14:paraId="5592337D" w14:textId="1D7490E9" w:rsidR="00BE1C6C" w:rsidRPr="00E9435E" w:rsidRDefault="00BE1C6C" w:rsidP="005B6B52"/>
    <w:p w14:paraId="1128D054" w14:textId="3811C5CD" w:rsidR="005B6B52" w:rsidRPr="00E9435E" w:rsidRDefault="00C45538" w:rsidP="005B6B52">
      <w:r w:rsidRPr="00B53B7B">
        <w:rPr>
          <w:i/>
        </w:rPr>
        <w:t xml:space="preserve">Eligible </w:t>
      </w:r>
      <w:r w:rsidR="00E72FBF" w:rsidRPr="00B53B7B">
        <w:rPr>
          <w:i/>
        </w:rPr>
        <w:t>Projects</w:t>
      </w:r>
      <w:r w:rsidRPr="00B53B7B">
        <w:rPr>
          <w:i/>
        </w:rPr>
        <w:t xml:space="preserve"> Co</w:t>
      </w:r>
      <w:r w:rsidR="00E72FBF" w:rsidRPr="00B53B7B">
        <w:rPr>
          <w:i/>
        </w:rPr>
        <w:t>s</w:t>
      </w:r>
      <w:r w:rsidRPr="00B53B7B">
        <w:rPr>
          <w:i/>
        </w:rPr>
        <w:t>ts:</w:t>
      </w:r>
      <w:r>
        <w:t xml:space="preserve"> </w:t>
      </w:r>
      <w:r w:rsidR="007445E6" w:rsidRPr="00E9435E">
        <w:t>Except for the equipment replacement, t</w:t>
      </w:r>
      <w:r w:rsidR="005B6B52" w:rsidRPr="00E9435E">
        <w:t xml:space="preserve">he customer did not </w:t>
      </w:r>
      <w:r w:rsidR="00CF3ED6" w:rsidRPr="00E9435E">
        <w:t xml:space="preserve">have to make </w:t>
      </w:r>
      <w:r w:rsidR="007445E6" w:rsidRPr="00E9435E">
        <w:t>additional</w:t>
      </w:r>
      <w:r w:rsidR="00CF3ED6" w:rsidRPr="00E9435E">
        <w:t xml:space="preserve"> </w:t>
      </w:r>
      <w:r w:rsidR="007445E6" w:rsidRPr="00E9435E">
        <w:t xml:space="preserve">upgrades </w:t>
      </w:r>
      <w:r w:rsidR="00B209C9" w:rsidRPr="00E9435E">
        <w:t xml:space="preserve">for the increased electrical loads. The </w:t>
      </w:r>
      <w:r w:rsidR="00CB7B3A" w:rsidRPr="00E9435E">
        <w:t xml:space="preserve">full measure cost </w:t>
      </w:r>
      <w:r w:rsidR="006B0730" w:rsidRPr="00E9435E">
        <w:t xml:space="preserve">of </w:t>
      </w:r>
      <w:r w:rsidR="00CA06F2" w:rsidRPr="00E9435E">
        <w:t>SEER15</w:t>
      </w:r>
      <w:r w:rsidR="001C7CE9" w:rsidRPr="00E9435E">
        <w:t xml:space="preserve"> and 8</w:t>
      </w:r>
      <w:r w:rsidR="00800060" w:rsidRPr="00E9435E">
        <w:t>.</w:t>
      </w:r>
      <w:r w:rsidR="001C7CE9" w:rsidRPr="00E9435E">
        <w:t>7 HSPF</w:t>
      </w:r>
      <w:r w:rsidR="007416FB" w:rsidRPr="00E9435E">
        <w:t xml:space="preserve"> DXHP</w:t>
      </w:r>
      <w:r w:rsidR="00966C4A" w:rsidRPr="00E9435E">
        <w:t xml:space="preserve"> is</w:t>
      </w:r>
      <w:r w:rsidR="005D3527" w:rsidRPr="00E9435E">
        <w:t xml:space="preserve"> $</w:t>
      </w:r>
      <w:r w:rsidR="00966C4A" w:rsidRPr="00E9435E">
        <w:t>3,28</w:t>
      </w:r>
      <w:r w:rsidR="000F31B7" w:rsidRPr="00E9435E">
        <w:t>5</w:t>
      </w:r>
      <w:r w:rsidR="00966C4A" w:rsidRPr="00E9435E">
        <w:t>.</w:t>
      </w:r>
      <w:r w:rsidR="000F31B7" w:rsidRPr="00E9435E">
        <w:t>00</w:t>
      </w:r>
      <w:r w:rsidR="00966C4A" w:rsidRPr="00E9435E">
        <w:t xml:space="preserve"> and</w:t>
      </w:r>
      <w:r w:rsidR="00E77EC2" w:rsidRPr="00E9435E">
        <w:t xml:space="preserve"> the cost of SEER14 and </w:t>
      </w:r>
      <w:r w:rsidR="00966C4A" w:rsidRPr="00E9435E">
        <w:t>82% AFUE DXGF is $2,52</w:t>
      </w:r>
      <w:r w:rsidR="000F31B7" w:rsidRPr="00E9435E">
        <w:t>3</w:t>
      </w:r>
      <w:r w:rsidR="00966C4A" w:rsidRPr="00E9435E">
        <w:t>.</w:t>
      </w:r>
      <w:r w:rsidR="000F31B7" w:rsidRPr="00E9435E">
        <w:t xml:space="preserve">00. </w:t>
      </w:r>
      <w:r w:rsidR="002216DB" w:rsidRPr="00E9435E">
        <w:t xml:space="preserve">Hence, the incremental measure cost is </w:t>
      </w:r>
      <w:r w:rsidR="006132AC" w:rsidRPr="00E9435E">
        <w:t xml:space="preserve">$762.00. </w:t>
      </w:r>
    </w:p>
    <w:p w14:paraId="608DC27D" w14:textId="77777777" w:rsidR="001C3C1C" w:rsidRPr="00E9435E" w:rsidRDefault="001C3C1C" w:rsidP="001C3C1C">
      <w:pPr>
        <w:rPr>
          <w:i/>
          <w:color w:val="F79646" w:themeColor="accent6"/>
        </w:rPr>
      </w:pPr>
    </w:p>
    <w:p w14:paraId="19EAB23D" w14:textId="02E8DD30" w:rsidR="006F30FC" w:rsidRPr="00E9435E" w:rsidRDefault="006F30FC">
      <w:r w:rsidRPr="00E9435E">
        <w:t xml:space="preserve"> </w:t>
      </w:r>
    </w:p>
    <w:p w14:paraId="52FF4860" w14:textId="7122895D" w:rsidR="001C3C1C" w:rsidRPr="00E9435E" w:rsidRDefault="001C3C1C" w:rsidP="001C3C1C">
      <w:r w:rsidRPr="00E9435E">
        <w:br w:type="page"/>
      </w:r>
    </w:p>
    <w:p w14:paraId="0B8DD938" w14:textId="77777777" w:rsidR="001C3C1C" w:rsidRPr="00E9435E" w:rsidRDefault="001C3C1C" w:rsidP="001C3C1C">
      <w:pPr>
        <w:sectPr w:rsidR="001C3C1C" w:rsidRPr="00E9435E" w:rsidSect="00C427B6">
          <w:footerReference w:type="default" r:id="rId19"/>
          <w:footerReference w:type="first" r:id="rId20"/>
          <w:pgSz w:w="12240" w:h="15840"/>
          <w:pgMar w:top="1440" w:right="1440" w:bottom="1440" w:left="1440" w:header="720" w:footer="720" w:gutter="0"/>
          <w:pgNumType w:start="1"/>
          <w:cols w:space="720"/>
        </w:sectPr>
      </w:pPr>
    </w:p>
    <w:p w14:paraId="115A09A6" w14:textId="69210664" w:rsidR="00681237" w:rsidRPr="00681237" w:rsidRDefault="00516F66" w:rsidP="00681237">
      <w:pPr>
        <w:pStyle w:val="AppendixH1"/>
        <w:numPr>
          <w:ilvl w:val="0"/>
          <w:numId w:val="0"/>
        </w:numPr>
        <w:ind w:left="432"/>
      </w:pPr>
      <w:bookmarkStart w:id="133" w:name="_Toc23250008"/>
      <w:bookmarkStart w:id="134" w:name="_Toc20765376"/>
      <w:r w:rsidRPr="00E9435E">
        <w:lastRenderedPageBreak/>
        <w:t xml:space="preserve">Appendix </w:t>
      </w:r>
      <w:r>
        <w:t>A</w:t>
      </w:r>
      <w:r w:rsidRPr="00E9435E">
        <w:t xml:space="preserve">– </w:t>
      </w:r>
      <w:r>
        <w:t>Source Energy and Emissions Determination</w:t>
      </w:r>
      <w:bookmarkEnd w:id="133"/>
    </w:p>
    <w:p w14:paraId="3AEFEE2B" w14:textId="73E1BF8B" w:rsidR="76C543C4" w:rsidRDefault="76C543C4"/>
    <w:p w14:paraId="2BC94C0D" w14:textId="358FC258" w:rsidR="00E144FC" w:rsidRPr="00E144FC" w:rsidRDefault="0E1EED2A" w:rsidP="00E144FC">
      <w:pPr>
        <w:spacing w:after="200" w:line="276" w:lineRule="auto"/>
        <w:rPr>
          <w:rFonts w:eastAsiaTheme="majorEastAsia" w:cstheme="majorBidi"/>
          <w:b/>
          <w:bCs/>
          <w:color w:val="007BA7" w:themeColor="accent1" w:themeShade="BF"/>
          <w:sz w:val="26"/>
          <w:szCs w:val="26"/>
        </w:rPr>
      </w:pPr>
      <w:r w:rsidRPr="00E144FC">
        <w:rPr>
          <w:rFonts w:eastAsiaTheme="majorEastAsia" w:cstheme="majorBidi"/>
          <w:b/>
          <w:bCs/>
          <w:color w:val="007BA7" w:themeColor="accent1" w:themeShade="BF"/>
          <w:sz w:val="26"/>
          <w:szCs w:val="26"/>
        </w:rPr>
        <w:t>Introdu</w:t>
      </w:r>
      <w:r w:rsidR="60D04B50" w:rsidRPr="00E144FC">
        <w:rPr>
          <w:rFonts w:eastAsiaTheme="majorEastAsia" w:cstheme="majorBidi"/>
          <w:b/>
          <w:bCs/>
          <w:color w:val="007BA7" w:themeColor="accent1" w:themeShade="BF"/>
          <w:sz w:val="26"/>
          <w:szCs w:val="26"/>
        </w:rPr>
        <w:t>ction</w:t>
      </w:r>
    </w:p>
    <w:p w14:paraId="2E462D2A" w14:textId="188EFC6E" w:rsidR="009216DB" w:rsidRDefault="4E35FD57" w:rsidP="00201BE1">
      <w:r w:rsidRPr="4E35FD57">
        <w:t>This appendix d</w:t>
      </w:r>
      <w:r w:rsidR="178EB7C6" w:rsidRPr="4E35FD57">
        <w:t>et</w:t>
      </w:r>
      <w:r w:rsidR="6C0EDF50" w:rsidRPr="4E35FD57">
        <w:t>ai</w:t>
      </w:r>
      <w:r w:rsidR="178EB7C6" w:rsidRPr="4E35FD57">
        <w:t>ls th</w:t>
      </w:r>
      <w:r w:rsidR="6C0EDF50" w:rsidRPr="4E35FD57">
        <w:t xml:space="preserve">e </w:t>
      </w:r>
      <w:r w:rsidR="74C10284" w:rsidRPr="4E35FD57">
        <w:t xml:space="preserve">policies </w:t>
      </w:r>
      <w:r w:rsidR="0FF8C40E" w:rsidRPr="4E35FD57">
        <w:t xml:space="preserve">and </w:t>
      </w:r>
      <w:r w:rsidR="74C10284" w:rsidRPr="4E35FD57">
        <w:t>methodolo</w:t>
      </w:r>
      <w:r w:rsidR="7C6FEE56" w:rsidRPr="4E35FD57">
        <w:t xml:space="preserve">gies which </w:t>
      </w:r>
      <w:r w:rsidR="4C8C6B92" w:rsidRPr="4E35FD57">
        <w:t xml:space="preserve">were used to </w:t>
      </w:r>
      <w:r w:rsidR="0E5D8B25" w:rsidRPr="4E35FD57">
        <w:t xml:space="preserve">create the </w:t>
      </w:r>
      <w:r w:rsidR="33EA30AF" w:rsidRPr="4E35FD57">
        <w:t>fuel s</w:t>
      </w:r>
      <w:r w:rsidR="3A5DDDAD" w:rsidRPr="4E35FD57">
        <w:t xml:space="preserve">ubstitution </w:t>
      </w:r>
      <w:r w:rsidR="702A3623" w:rsidRPr="4E35FD57">
        <w:t>calculator. It includes a</w:t>
      </w:r>
      <w:r w:rsidR="11CF8626" w:rsidRPr="4E35FD57">
        <w:t>n explanation of how</w:t>
      </w:r>
      <w:r w:rsidR="702A3623" w:rsidRPr="2FE57188">
        <w:t xml:space="preserve"> </w:t>
      </w:r>
      <w:r w:rsidR="11CF8626" w:rsidRPr="4E35FD57">
        <w:t xml:space="preserve">the </w:t>
      </w:r>
      <w:r w:rsidR="5306D54C" w:rsidRPr="4E35FD57">
        <w:t>emission intensity fac</w:t>
      </w:r>
      <w:r w:rsidR="118D8E31" w:rsidRPr="4E35FD57">
        <w:t>tors were derived, and how the single se</w:t>
      </w:r>
      <w:r w:rsidR="414EEC91" w:rsidRPr="4E35FD57">
        <w:t xml:space="preserve">t of factors </w:t>
      </w:r>
      <w:r w:rsidR="5D515B60" w:rsidRPr="4E35FD57">
        <w:t>are</w:t>
      </w:r>
      <w:r w:rsidR="414EEC91" w:rsidRPr="4E35FD57">
        <w:t xml:space="preserve"> </w:t>
      </w:r>
      <w:r w:rsidR="3BEDBAB0" w:rsidRPr="4E35FD57">
        <w:t>used to determine the sourc</w:t>
      </w:r>
      <w:r w:rsidR="00A44DB4" w:rsidRPr="4E35FD57">
        <w:t>e energy and emissions</w:t>
      </w:r>
      <w:r w:rsidR="00A44DB4" w:rsidRPr="2FE57188">
        <w:t xml:space="preserve"> </w:t>
      </w:r>
      <w:r w:rsidR="2D196C43" w:rsidRPr="4E35FD57">
        <w:t>of fuel substit</w:t>
      </w:r>
      <w:r w:rsidR="6FFD38A1" w:rsidRPr="4E35FD57">
        <w:t>ution</w:t>
      </w:r>
      <w:r w:rsidR="39C3053E" w:rsidRPr="2FE57188">
        <w:t xml:space="preserve"> </w:t>
      </w:r>
      <w:r w:rsidR="2D196C43" w:rsidRPr="4E35FD57">
        <w:t>measures.</w:t>
      </w:r>
      <w:r w:rsidR="1E00A88D" w:rsidRPr="5F2EEB03">
        <w:t xml:space="preserve"> </w:t>
      </w:r>
    </w:p>
    <w:p w14:paraId="05FF0D9D" w14:textId="77777777" w:rsidR="00201BE1" w:rsidRPr="009216DB" w:rsidRDefault="00201BE1" w:rsidP="00201BE1"/>
    <w:p w14:paraId="2F4D1A4C" w14:textId="6E6BAF5D" w:rsidR="00C302AC" w:rsidRDefault="4575B31D" w:rsidP="00201BE1">
      <w:r>
        <w:t>Fi</w:t>
      </w:r>
      <w:r w:rsidR="7E02D512" w:rsidRPr="7E02D512">
        <w:t>rst, it is important to note</w:t>
      </w:r>
      <w:r w:rsidR="392A8657" w:rsidRPr="392A8657">
        <w:t xml:space="preserve"> that </w:t>
      </w:r>
      <w:r w:rsidR="00F83696" w:rsidRPr="00B53B7B">
        <w:t>only the source energy from depletable fossil-fuel resources</w:t>
      </w:r>
      <w:r w:rsidR="00FF237C" w:rsidRPr="5BF92635">
        <w:t xml:space="preserve"> </w:t>
      </w:r>
      <w:r w:rsidR="00F83696" w:rsidRPr="00B53B7B">
        <w:t xml:space="preserve">are currently </w:t>
      </w:r>
      <w:r w:rsidR="6D48F9F8" w:rsidRPr="00B53B7B">
        <w:t>considered in</w:t>
      </w:r>
      <w:r w:rsidR="15F4C2BD" w:rsidRPr="00B53B7B">
        <w:t xml:space="preserve"> the </w:t>
      </w:r>
      <w:r w:rsidR="653C547C" w:rsidRPr="00B53B7B">
        <w:t>intensity factors for fuel s</w:t>
      </w:r>
      <w:r w:rsidR="763CC986" w:rsidRPr="00B53B7B">
        <w:t>u</w:t>
      </w:r>
      <w:r w:rsidR="04910070" w:rsidRPr="00B53B7B">
        <w:t xml:space="preserve">bstitution </w:t>
      </w:r>
      <w:r w:rsidR="21B29540" w:rsidRPr="00B53B7B">
        <w:t>measures</w:t>
      </w:r>
      <w:r w:rsidR="00F83696" w:rsidRPr="5BF92635">
        <w:t>.</w:t>
      </w:r>
      <w:r w:rsidR="03BC6D84" w:rsidRPr="00B53B7B">
        <w:t xml:space="preserve"> For the purpose </w:t>
      </w:r>
      <w:r w:rsidR="687BE1C9" w:rsidRPr="00B53B7B">
        <w:t>of the fuel subs</w:t>
      </w:r>
      <w:r w:rsidR="684AB9B3" w:rsidRPr="00B53B7B">
        <w:t>titution test, the</w:t>
      </w:r>
      <w:r w:rsidR="0081590E">
        <w:t xml:space="preserve"> California Public Utilities Commission (CPUC)</w:t>
      </w:r>
      <w:r w:rsidR="213ACD02" w:rsidRPr="00B53B7B">
        <w:t xml:space="preserve"> considers </w:t>
      </w:r>
      <w:r w:rsidR="1BE9E2CB" w:rsidRPr="00B53B7B">
        <w:t>the</w:t>
      </w:r>
      <w:r w:rsidR="5D9F6DCA" w:rsidRPr="00B53B7B">
        <w:t xml:space="preserve"> source energy and emissions f</w:t>
      </w:r>
      <w:r w:rsidR="10F62EBA" w:rsidRPr="00B53B7B">
        <w:t xml:space="preserve">or </w:t>
      </w:r>
      <w:r w:rsidR="00F83696" w:rsidRPr="00B53B7B">
        <w:t>renewable generation, such as solar</w:t>
      </w:r>
      <w:r w:rsidR="006A0934">
        <w:t xml:space="preserve">, wind, </w:t>
      </w:r>
      <w:r w:rsidR="00EB6138">
        <w:t xml:space="preserve">and </w:t>
      </w:r>
      <w:r w:rsidR="006A0934">
        <w:t xml:space="preserve">hydro-electric </w:t>
      </w:r>
      <w:r w:rsidR="00404107">
        <w:t>generation</w:t>
      </w:r>
      <w:r w:rsidR="00F93C05">
        <w:t>,</w:t>
      </w:r>
      <w:r w:rsidR="00404107">
        <w:t xml:space="preserve"> </w:t>
      </w:r>
      <w:r w:rsidR="7FE99A51">
        <w:t>to b</w:t>
      </w:r>
      <w:r w:rsidR="1B6EFB6C">
        <w:t>e zero.</w:t>
      </w:r>
    </w:p>
    <w:p w14:paraId="58A42AE1" w14:textId="3BF6A63C" w:rsidR="006A0934" w:rsidRDefault="1B6EFB6C" w:rsidP="00201BE1">
      <w:r>
        <w:t xml:space="preserve"> </w:t>
      </w:r>
    </w:p>
    <w:p w14:paraId="37B525FA" w14:textId="5C4CD49F" w:rsidR="754C83F9" w:rsidRPr="00E144FC" w:rsidRDefault="283AE1DC" w:rsidP="00D10656">
      <w:pPr>
        <w:spacing w:after="200" w:line="276" w:lineRule="auto"/>
        <w:rPr>
          <w:rFonts w:eastAsiaTheme="majorEastAsia" w:cstheme="majorBidi"/>
          <w:b/>
          <w:bCs/>
          <w:color w:val="007BA7" w:themeColor="accent1" w:themeShade="BF"/>
          <w:sz w:val="26"/>
          <w:szCs w:val="26"/>
        </w:rPr>
      </w:pPr>
      <w:r w:rsidRPr="00E144FC">
        <w:rPr>
          <w:rFonts w:eastAsiaTheme="majorEastAsia" w:cstheme="majorBidi"/>
          <w:b/>
          <w:bCs/>
          <w:color w:val="007BA7" w:themeColor="accent1" w:themeShade="BF"/>
          <w:sz w:val="26"/>
          <w:szCs w:val="26"/>
        </w:rPr>
        <w:t>Policy Background</w:t>
      </w:r>
    </w:p>
    <w:p w14:paraId="60C0049E" w14:textId="53B5BD0F" w:rsidR="53C0AB50" w:rsidRDefault="6A8B3A32" w:rsidP="00201BE1">
      <w:r>
        <w:t>At the time of this docu</w:t>
      </w:r>
      <w:r w:rsidR="5BF92635">
        <w:t>ment’s creation</w:t>
      </w:r>
      <w:r w:rsidR="00F83696">
        <w:t xml:space="preserve">, no </w:t>
      </w:r>
      <w:r w:rsidR="2FB5ACEF">
        <w:t xml:space="preserve">source </w:t>
      </w:r>
      <w:r w:rsidR="719B6BEF">
        <w:t>energy or emi</w:t>
      </w:r>
      <w:r w:rsidR="56496BD7">
        <w:t>ssions intensity factors ex</w:t>
      </w:r>
      <w:r w:rsidR="700A7BB5">
        <w:t>isted for fuel su</w:t>
      </w:r>
      <w:r w:rsidR="312875D5">
        <w:t>bstit</w:t>
      </w:r>
      <w:r w:rsidR="6671124F">
        <w:t>ut</w:t>
      </w:r>
      <w:r w:rsidR="312875D5">
        <w:t xml:space="preserve">ion measures. </w:t>
      </w:r>
      <w:r w:rsidR="70B87D70">
        <w:t>It</w:t>
      </w:r>
      <w:r w:rsidR="00F83696" w:rsidDel="0055769B">
        <w:t xml:space="preserve"> was</w:t>
      </w:r>
      <w:r w:rsidR="00F83696">
        <w:t xml:space="preserve"> necessary to develop </w:t>
      </w:r>
      <w:r w:rsidR="7532D38E">
        <w:t>the intensity factor</w:t>
      </w:r>
      <w:r w:rsidR="70B87D70">
        <w:t xml:space="preserve">s </w:t>
      </w:r>
      <w:r w:rsidR="033303C1">
        <w:t>and other relevant values</w:t>
      </w:r>
      <w:r w:rsidR="00F83696">
        <w:t xml:space="preserve"> based on available information, </w:t>
      </w:r>
      <w:r w:rsidR="2C0FEE4F">
        <w:t>such</w:t>
      </w:r>
      <w:r w:rsidR="12B8E0B9">
        <w:t xml:space="preserve"> as </w:t>
      </w:r>
      <w:r w:rsidR="00F83696">
        <w:t xml:space="preserve">current GHG mandates and goals </w:t>
      </w:r>
      <w:r w:rsidR="062C5724">
        <w:t>like</w:t>
      </w:r>
      <w:r w:rsidR="00F83696">
        <w:t xml:space="preserve"> as Senate Bill (SB) 350 and SB 100, and reasonable assumptions </w:t>
      </w:r>
      <w:r w:rsidR="00CA7020">
        <w:t xml:space="preserve">as </w:t>
      </w:r>
      <w:r w:rsidR="00F83696">
        <w:t xml:space="preserve">to their implementation. </w:t>
      </w:r>
      <w:r w:rsidR="34D0C712" w:rsidRPr="062C5724">
        <w:t xml:space="preserve">The </w:t>
      </w:r>
      <w:r w:rsidR="1E1C659D" w:rsidRPr="1E1C659D">
        <w:t>fuel substit</w:t>
      </w:r>
      <w:r w:rsidR="12FCB1BD" w:rsidRPr="12FCB1BD">
        <w:t>ution development team</w:t>
      </w:r>
      <w:r w:rsidR="402C844B" w:rsidRPr="3C301751">
        <w:t xml:space="preserve"> </w:t>
      </w:r>
      <w:r w:rsidR="3423651F" w:rsidRPr="12FCB1BD">
        <w:t>relied on values used by</w:t>
      </w:r>
      <w:r w:rsidR="3C301751" w:rsidRPr="12FCB1BD">
        <w:t xml:space="preserve"> the </w:t>
      </w:r>
      <w:r w:rsidR="00E74C23">
        <w:t xml:space="preserve">CPUC’s </w:t>
      </w:r>
      <w:r w:rsidR="066C381A">
        <w:t>Integrated Resources Planning (IRP) proceeding</w:t>
      </w:r>
      <w:r w:rsidR="168973E7" w:rsidRPr="45F4874D">
        <w:t>.</w:t>
      </w:r>
      <w:r w:rsidR="066C381A" w:rsidRPr="00201BE1">
        <w:rPr>
          <w:vertAlign w:val="superscript"/>
        </w:rPr>
        <w:footnoteReference w:id="27"/>
      </w:r>
    </w:p>
    <w:p w14:paraId="291B830C" w14:textId="77777777" w:rsidR="00201BE1" w:rsidRDefault="00201BE1" w:rsidP="00201BE1"/>
    <w:p w14:paraId="292197C3" w14:textId="3B19537A" w:rsidR="00B60D41" w:rsidRDefault="29F499EF" w:rsidP="00F83696">
      <w:r>
        <w:t xml:space="preserve">Recent </w:t>
      </w:r>
      <w:r w:rsidR="33BD446C">
        <w:t>California legislation also in</w:t>
      </w:r>
      <w:r w:rsidR="55ABBCDF">
        <w:t>fluenced the technical guide</w:t>
      </w:r>
      <w:r w:rsidR="5569EE19">
        <w:t xml:space="preserve"> development. </w:t>
      </w:r>
      <w:r w:rsidR="00F83696">
        <w:t>SB 350</w:t>
      </w:r>
      <w:r w:rsidR="00E9651F">
        <w:rPr>
          <w:rStyle w:val="FootnoteReference"/>
        </w:rPr>
        <w:footnoteReference w:id="28"/>
      </w:r>
      <w:r w:rsidR="00F83696">
        <w:t xml:space="preserve"> requires </w:t>
      </w:r>
      <w:r w:rsidR="00C1710D">
        <w:t xml:space="preserve">reducing greenhouse gas (GHG) </w:t>
      </w:r>
      <w:r w:rsidR="00D4720D">
        <w:t>emissions</w:t>
      </w:r>
      <w:r w:rsidR="00C1710D">
        <w:t xml:space="preserve"> by 40% by 2030</w:t>
      </w:r>
      <w:r w:rsidR="00D4720D">
        <w:t>, including efforts to achieve at least 50% renewable energy procurement</w:t>
      </w:r>
      <w:r w:rsidR="008A0454" w:rsidRPr="762667E3">
        <w:t xml:space="preserve">. </w:t>
      </w:r>
      <w:r w:rsidR="00F83696">
        <w:t>SB 350 mandates are currently being implemented in the</w:t>
      </w:r>
      <w:r w:rsidR="00E74C23">
        <w:t xml:space="preserve"> CPUC’s</w:t>
      </w:r>
      <w:r w:rsidR="00F83696">
        <w:t xml:space="preserve"> </w:t>
      </w:r>
      <w:r w:rsidR="26DB5EEB">
        <w:t>IRP</w:t>
      </w:r>
      <w:r w:rsidR="00F83696">
        <w:t xml:space="preserve"> proceeding (Rulemaking (R.)16-02-007)</w:t>
      </w:r>
      <w:r w:rsidR="00946524" w:rsidRPr="762667E3">
        <w:t>.</w:t>
      </w:r>
      <w:r w:rsidR="00F83696">
        <w:rPr>
          <w:rStyle w:val="FootnoteReference"/>
        </w:rPr>
        <w:footnoteReference w:id="29"/>
      </w:r>
      <w:r w:rsidR="00F83696" w:rsidRPr="762667E3">
        <w:t xml:space="preserve"> </w:t>
      </w:r>
      <w:r w:rsidR="00EE30B5">
        <w:t>SB</w:t>
      </w:r>
      <w:r w:rsidR="00CF6C21" w:rsidRPr="762667E3">
        <w:t xml:space="preserve"> </w:t>
      </w:r>
      <w:r w:rsidR="00EE30B5">
        <w:t>100</w:t>
      </w:r>
      <w:r w:rsidR="00CF6C21" w:rsidRPr="762667E3">
        <w:t>,</w:t>
      </w:r>
      <w:r w:rsidR="00322E81">
        <w:rPr>
          <w:rStyle w:val="FootnoteReference"/>
        </w:rPr>
        <w:footnoteReference w:id="30"/>
      </w:r>
      <w:r w:rsidR="00322E81" w:rsidRPr="762667E3">
        <w:t xml:space="preserve"> </w:t>
      </w:r>
      <w:r w:rsidR="00FB2CD1">
        <w:t>approved on September 10, 2018</w:t>
      </w:r>
      <w:r w:rsidR="00CF6C21" w:rsidRPr="762667E3">
        <w:t>,</w:t>
      </w:r>
      <w:r w:rsidR="00FB2CD1" w:rsidRPr="762667E3">
        <w:t xml:space="preserve"> </w:t>
      </w:r>
      <w:r w:rsidR="00322E81">
        <w:t xml:space="preserve">requires </w:t>
      </w:r>
      <w:r w:rsidR="00B60D41">
        <w:t>100%</w:t>
      </w:r>
      <w:r w:rsidR="00111E80">
        <w:t xml:space="preserve"> of retail sales from GHG-free sources</w:t>
      </w:r>
      <w:r w:rsidR="00B60D41">
        <w:t xml:space="preserve"> by 2045. The implementation of SB</w:t>
      </w:r>
      <w:r w:rsidR="00CF6C21" w:rsidRPr="762667E3">
        <w:t xml:space="preserve"> </w:t>
      </w:r>
      <w:r w:rsidR="00B60D41">
        <w:t xml:space="preserve">100 is </w:t>
      </w:r>
      <w:r w:rsidR="00F83696">
        <w:t xml:space="preserve">still in the early stages. </w:t>
      </w:r>
    </w:p>
    <w:p w14:paraId="07601D94" w14:textId="77777777" w:rsidR="00382D72" w:rsidRPr="00382D72" w:rsidRDefault="00382D72" w:rsidP="00382D72"/>
    <w:p w14:paraId="4E1287C5" w14:textId="1F0D2499" w:rsidR="5D4A9CCA" w:rsidRPr="00E144FC" w:rsidRDefault="4CD489AF" w:rsidP="00D10656">
      <w:pPr>
        <w:spacing w:after="200" w:line="276" w:lineRule="auto"/>
        <w:rPr>
          <w:rFonts w:eastAsiaTheme="majorEastAsia" w:cstheme="majorBidi"/>
          <w:b/>
          <w:bCs/>
          <w:color w:val="007BA7" w:themeColor="accent1" w:themeShade="BF"/>
          <w:sz w:val="26"/>
          <w:szCs w:val="26"/>
        </w:rPr>
      </w:pPr>
      <w:r w:rsidRPr="00E144FC">
        <w:rPr>
          <w:rFonts w:eastAsiaTheme="majorEastAsia" w:cstheme="majorBidi"/>
          <w:b/>
          <w:bCs/>
          <w:color w:val="007BA7" w:themeColor="accent1" w:themeShade="BF"/>
          <w:sz w:val="26"/>
          <w:szCs w:val="26"/>
        </w:rPr>
        <w:t>Conceptual Framework</w:t>
      </w:r>
    </w:p>
    <w:p w14:paraId="0347D38D" w14:textId="434B8169" w:rsidR="008805AF" w:rsidRDefault="7C9EF138" w:rsidP="008805AF">
      <w:r w:rsidRPr="7C9EF138">
        <w:t xml:space="preserve">The primary purpose of this effort was to identify the change in source energy and greenhouse gas emissions attributable to fuel substitution measures. </w:t>
      </w:r>
      <w:r w:rsidR="008805AF">
        <w:t>With the appropriate factors, program administrators can then test source energy (‘</w:t>
      </w:r>
      <w:r w:rsidR="0016263A">
        <w:t>Part One</w:t>
      </w:r>
      <w:r w:rsidR="008805AF">
        <w:t xml:space="preserve">) and </w:t>
      </w:r>
      <w:r w:rsidR="00201BE1">
        <w:t>CO</w:t>
      </w:r>
      <w:r w:rsidR="00201BE1" w:rsidRPr="00201BE1">
        <w:rPr>
          <w:vertAlign w:val="subscript"/>
        </w:rPr>
        <w:t>2</w:t>
      </w:r>
      <w:r w:rsidR="008805AF">
        <w:t xml:space="preserve"> emissions (‘</w:t>
      </w:r>
      <w:r w:rsidR="0016263A">
        <w:t>P</w:t>
      </w:r>
      <w:r w:rsidR="008F2F8B">
        <w:t>art</w:t>
      </w:r>
      <w:r w:rsidR="008805AF">
        <w:t xml:space="preserve"> </w:t>
      </w:r>
      <w:r w:rsidR="0016263A">
        <w:t>Two’</w:t>
      </w:r>
      <w:r w:rsidR="008805AF">
        <w:t xml:space="preserve">) to determine whether each measure saves both source energy and </w:t>
      </w:r>
      <w:r w:rsidR="00201BE1">
        <w:t>CO</w:t>
      </w:r>
      <w:r w:rsidR="00201BE1" w:rsidRPr="00201BE1">
        <w:rPr>
          <w:vertAlign w:val="subscript"/>
        </w:rPr>
        <w:t>2</w:t>
      </w:r>
      <w:r w:rsidR="008805AF">
        <w:t xml:space="preserve"> emissions.  </w:t>
      </w:r>
    </w:p>
    <w:p w14:paraId="256645CB" w14:textId="77777777" w:rsidR="008805AF" w:rsidRPr="00C804E8" w:rsidRDefault="008805AF" w:rsidP="008805AF">
      <w:pPr>
        <w:rPr>
          <w:rFonts w:asciiTheme="minorHAnsi" w:hAnsiTheme="minorHAnsi"/>
        </w:rPr>
      </w:pPr>
    </w:p>
    <w:p w14:paraId="057CCA03" w14:textId="27019740" w:rsidR="00B3375D" w:rsidRDefault="008805AF" w:rsidP="008805AF">
      <w:r>
        <w:t xml:space="preserve">Conceptually, </w:t>
      </w:r>
      <w:r w:rsidR="00010CE4">
        <w:t xml:space="preserve">both </w:t>
      </w:r>
      <w:r>
        <w:t>the</w:t>
      </w:r>
      <w:r w:rsidR="00010CE4">
        <w:t xml:space="preserve"> source energy and the</w:t>
      </w:r>
      <w:r>
        <w:t xml:space="preserve"> </w:t>
      </w:r>
      <w:r w:rsidR="00C349C8">
        <w:t>CO</w:t>
      </w:r>
      <w:r w:rsidR="00C349C8" w:rsidRPr="00201BE1">
        <w:rPr>
          <w:vertAlign w:val="subscript"/>
        </w:rPr>
        <w:t>2</w:t>
      </w:r>
      <w:r w:rsidR="00C349C8">
        <w:rPr>
          <w:vertAlign w:val="subscript"/>
        </w:rPr>
        <w:t xml:space="preserve"> </w:t>
      </w:r>
      <w:r w:rsidR="00C349C8" w:rsidRPr="00C349C8">
        <w:t xml:space="preserve">emissions </w:t>
      </w:r>
      <w:r>
        <w:t xml:space="preserve">of fuel substitution occurs in two parts.  First, there </w:t>
      </w:r>
      <w:r w:rsidR="00782511">
        <w:t>are</w:t>
      </w:r>
      <w:r>
        <w:t xml:space="preserve"> the </w:t>
      </w:r>
      <w:r w:rsidRPr="00D10656">
        <w:rPr>
          <w:u w:val="single"/>
        </w:rPr>
        <w:t>direct</w:t>
      </w:r>
      <w:r>
        <w:t xml:space="preserve"> </w:t>
      </w:r>
      <w:r w:rsidR="00513537">
        <w:t xml:space="preserve">changes in </w:t>
      </w:r>
      <w:r w:rsidR="008F755D">
        <w:t xml:space="preserve">source energy and </w:t>
      </w:r>
      <w:r w:rsidR="00C349C8">
        <w:t>CO</w:t>
      </w:r>
      <w:r w:rsidR="00C349C8" w:rsidRPr="00201BE1">
        <w:rPr>
          <w:vertAlign w:val="subscript"/>
        </w:rPr>
        <w:t>2</w:t>
      </w:r>
      <w:r>
        <w:t xml:space="preserve"> emissions </w:t>
      </w:r>
      <w:r w:rsidR="00782511">
        <w:t>which occur when a measure</w:t>
      </w:r>
      <w:r w:rsidR="00715244">
        <w:t xml:space="preserve"> is implemented</w:t>
      </w:r>
      <w:r>
        <w:t xml:space="preserve">. </w:t>
      </w:r>
      <w:r w:rsidR="3477AA62">
        <w:t>This</w:t>
      </w:r>
      <w:r w:rsidRPr="5E058A41">
        <w:t xml:space="preserve"> </w:t>
      </w:r>
      <w:r w:rsidR="3477AA62">
        <w:t xml:space="preserve">change </w:t>
      </w:r>
      <w:r>
        <w:t xml:space="preserve">is </w:t>
      </w:r>
      <w:r w:rsidR="3477AA62">
        <w:t>represented by an increas</w:t>
      </w:r>
      <w:r w:rsidR="7162B5ED">
        <w:t>e in sector</w:t>
      </w:r>
      <w:r w:rsidR="00684919">
        <w:t>-</w:t>
      </w:r>
      <w:r w:rsidR="4FA9AA6F">
        <w:t xml:space="preserve">wide emissions resulting from the </w:t>
      </w:r>
      <w:r w:rsidR="775E0771">
        <w:t>fuel substitution measure</w:t>
      </w:r>
      <w:r w:rsidR="5E058A41">
        <w:t>’s new gas or electric load.</w:t>
      </w:r>
      <w:r>
        <w:t xml:space="preserve">  Second, there is a </w:t>
      </w:r>
      <w:r w:rsidR="25998C88">
        <w:t>utility</w:t>
      </w:r>
      <w:r>
        <w:t xml:space="preserve"> </w:t>
      </w:r>
      <w:r w:rsidRPr="00D10656">
        <w:rPr>
          <w:u w:val="single"/>
        </w:rPr>
        <w:t>response</w:t>
      </w:r>
      <w:r w:rsidR="00831345">
        <w:t xml:space="preserve"> to the direct change</w:t>
      </w:r>
      <w:r>
        <w:t xml:space="preserve"> in the electric generation supply portfolio. </w:t>
      </w:r>
      <w:r w:rsidR="6C026923">
        <w:t>When</w:t>
      </w:r>
      <w:r w:rsidRPr="112E7E00">
        <w:t xml:space="preserve"> </w:t>
      </w:r>
      <w:r w:rsidR="2886C0BA">
        <w:t>the electric o</w:t>
      </w:r>
      <w:r w:rsidR="5BF5241E">
        <w:t>r</w:t>
      </w:r>
      <w:r w:rsidR="2886C0BA" w:rsidRPr="112E7E00">
        <w:t xml:space="preserve"> </w:t>
      </w:r>
      <w:r w:rsidR="5BF5241E">
        <w:t>natural gas grid experiences</w:t>
      </w:r>
      <w:r w:rsidR="6C026923" w:rsidRPr="112E7E00">
        <w:t xml:space="preserve"> </w:t>
      </w:r>
      <w:r w:rsidR="0598C0C1" w:rsidRPr="5BF5241E">
        <w:t>an increase in source energy o</w:t>
      </w:r>
      <w:r w:rsidR="5F7A3FD2" w:rsidRPr="5BF5241E">
        <w:t xml:space="preserve">r </w:t>
      </w:r>
      <w:r w:rsidR="00C349C8">
        <w:t>CO</w:t>
      </w:r>
      <w:r w:rsidR="00C349C8" w:rsidRPr="00201BE1">
        <w:rPr>
          <w:vertAlign w:val="subscript"/>
        </w:rPr>
        <w:t>2</w:t>
      </w:r>
      <w:r w:rsidR="5F7A3FD2" w:rsidRPr="5BF5241E">
        <w:t xml:space="preserve"> emissions f</w:t>
      </w:r>
      <w:r w:rsidR="20B33F65" w:rsidRPr="5BF5241E">
        <w:t xml:space="preserve">rom </w:t>
      </w:r>
      <w:r w:rsidR="5F7A3FD2" w:rsidRPr="5BF5241E">
        <w:t xml:space="preserve">increased </w:t>
      </w:r>
      <w:r w:rsidR="33EAF60C" w:rsidRPr="5BF5241E">
        <w:t xml:space="preserve">load, </w:t>
      </w:r>
      <w:r w:rsidR="2BDFC364" w:rsidRPr="5BF5241E">
        <w:t xml:space="preserve">the </w:t>
      </w:r>
      <w:r w:rsidR="434FE1AD" w:rsidRPr="5BF5241E">
        <w:t xml:space="preserve">electricity providers </w:t>
      </w:r>
      <w:r w:rsidR="2BDFC364" w:rsidRPr="5BF5241E">
        <w:t>m</w:t>
      </w:r>
      <w:r w:rsidR="42035921" w:rsidRPr="5BF5241E">
        <w:t>ust re</w:t>
      </w:r>
      <w:r w:rsidR="550DF9DC" w:rsidRPr="5BF5241E">
        <w:t>-optimize</w:t>
      </w:r>
      <w:r w:rsidR="42035921" w:rsidRPr="112E7E00">
        <w:t xml:space="preserve"> </w:t>
      </w:r>
      <w:r w:rsidR="00C349C8" w:rsidRPr="5BF5241E">
        <w:t>their</w:t>
      </w:r>
      <w:r w:rsidR="550DF9DC" w:rsidRPr="5BF5241E">
        <w:t xml:space="preserve"> </w:t>
      </w:r>
      <w:r w:rsidR="03CF2895" w:rsidRPr="5BF5241E">
        <w:t>renewables portfoli</w:t>
      </w:r>
      <w:r w:rsidR="29897676" w:rsidRPr="5BF5241E">
        <w:t>o to</w:t>
      </w:r>
      <w:r w:rsidR="03CF2895" w:rsidRPr="112E7E00">
        <w:t xml:space="preserve"> </w:t>
      </w:r>
      <w:r w:rsidR="29897676" w:rsidRPr="5BF5241E">
        <w:t xml:space="preserve">achieve </w:t>
      </w:r>
      <w:r w:rsidR="49B6DA98" w:rsidRPr="5BF5241E">
        <w:t>sector emissio</w:t>
      </w:r>
      <w:r w:rsidR="112E7E00" w:rsidRPr="5BF5241E">
        <w:t>ns goals.</w:t>
      </w:r>
      <w:r w:rsidR="49B6DA98" w:rsidRPr="5BF5241E">
        <w:t xml:space="preserve"> </w:t>
      </w:r>
      <w:r w:rsidR="7046EA55" w:rsidRPr="7046EA55">
        <w:t xml:space="preserve">It is assumed that </w:t>
      </w:r>
      <w:r w:rsidR="453E4C58" w:rsidRPr="7046EA55">
        <w:t>all investor</w:t>
      </w:r>
      <w:r w:rsidR="3B339D8A" w:rsidRPr="3B339D8A">
        <w:t>-owned uti</w:t>
      </w:r>
      <w:r w:rsidR="39677BB0" w:rsidRPr="39677BB0">
        <w:t xml:space="preserve">lities will achieve the </w:t>
      </w:r>
      <w:r w:rsidR="0B05C702" w:rsidRPr="0B05C702">
        <w:t>emissions</w:t>
      </w:r>
      <w:r w:rsidR="39677BB0" w:rsidRPr="4C922276">
        <w:t xml:space="preserve"> </w:t>
      </w:r>
      <w:r w:rsidR="0B05C702" w:rsidRPr="0B05C702">
        <w:t>targets manda</w:t>
      </w:r>
      <w:r w:rsidR="069A2DCA" w:rsidRPr="0B05C702">
        <w:t>t</w:t>
      </w:r>
      <w:r w:rsidR="0B05C702" w:rsidRPr="0B05C702">
        <w:t>ed b</w:t>
      </w:r>
      <w:r w:rsidR="7E1F8944" w:rsidRPr="7E1F8944">
        <w:t>y</w:t>
      </w:r>
      <w:r w:rsidR="0B05C702" w:rsidRPr="4C922276">
        <w:t xml:space="preserve"> </w:t>
      </w:r>
      <w:r w:rsidR="7E1F8944" w:rsidRPr="7E1F8944">
        <w:t>the IRP proceeding and C</w:t>
      </w:r>
      <w:r w:rsidR="6C683844" w:rsidRPr="6C683844">
        <w:t>ali</w:t>
      </w:r>
      <w:r w:rsidR="28D6D061" w:rsidRPr="6C683844">
        <w:t>fo</w:t>
      </w:r>
      <w:r w:rsidR="6C683844" w:rsidRPr="6C683844">
        <w:t>rnia legislation.</w:t>
      </w:r>
      <w:r>
        <w:t xml:space="preserve"> The source energy and </w:t>
      </w:r>
      <w:r w:rsidR="003435DD">
        <w:t>CO</w:t>
      </w:r>
      <w:r w:rsidR="003435DD" w:rsidRPr="00882AC1">
        <w:rPr>
          <w:vertAlign w:val="subscript"/>
        </w:rPr>
        <w:t>2</w:t>
      </w:r>
      <w:r w:rsidR="003435DD">
        <w:rPr>
          <w:vertAlign w:val="subscript"/>
        </w:rPr>
        <w:t xml:space="preserve"> </w:t>
      </w:r>
      <w:r w:rsidR="003435DD">
        <w:t>emissions</w:t>
      </w:r>
      <w:r>
        <w:t xml:space="preserve"> factors used in the Fuel Substitution Test should reflect the combined effect of both </w:t>
      </w:r>
      <w:r w:rsidR="00BE670C">
        <w:t xml:space="preserve">the direct change and the </w:t>
      </w:r>
      <w:r w:rsidR="4C922276">
        <w:t xml:space="preserve">utility </w:t>
      </w:r>
      <w:r w:rsidR="00BE670C">
        <w:t>response to this change</w:t>
      </w:r>
      <w:r>
        <w:t>.</w:t>
      </w:r>
    </w:p>
    <w:p w14:paraId="5890870F" w14:textId="77777777" w:rsidR="00B3375D" w:rsidRDefault="00B3375D" w:rsidP="008805AF"/>
    <w:p w14:paraId="0451857B" w14:textId="352A465E" w:rsidR="008805AF" w:rsidRDefault="00B3375D" w:rsidP="008805AF">
      <w:r>
        <w:t xml:space="preserve">The following methodology description </w:t>
      </w:r>
      <w:r w:rsidR="00DD6D13">
        <w:t>details the d</w:t>
      </w:r>
      <w:r w:rsidR="00C804E8">
        <w:t xml:space="preserve">etermination of annual source energy and </w:t>
      </w:r>
      <w:r w:rsidR="003435DD">
        <w:t>CO</w:t>
      </w:r>
      <w:r w:rsidR="003435DD" w:rsidRPr="00882AC1">
        <w:rPr>
          <w:vertAlign w:val="subscript"/>
        </w:rPr>
        <w:t>2</w:t>
      </w:r>
      <w:r w:rsidR="003435DD">
        <w:rPr>
          <w:vertAlign w:val="subscript"/>
        </w:rPr>
        <w:t xml:space="preserve"> </w:t>
      </w:r>
      <w:r w:rsidR="003435DD">
        <w:t>emissions</w:t>
      </w:r>
      <w:r w:rsidR="00C804E8">
        <w:t xml:space="preserve"> factors for use in the fuel substitution tes</w:t>
      </w:r>
      <w:r w:rsidR="00D46BA6">
        <w:t>t.</w:t>
      </w:r>
      <w:r w:rsidR="00C804E8">
        <w:t xml:space="preserve"> </w:t>
      </w:r>
      <w:r w:rsidR="00D46BA6">
        <w:t xml:space="preserve">As a visual aid, </w:t>
      </w:r>
      <w:r w:rsidR="008805AF">
        <w:fldChar w:fldCharType="begin"/>
      </w:r>
      <w:r w:rsidR="008805AF">
        <w:instrText xml:space="preserve"> REF _Ref19024492 \h </w:instrText>
      </w:r>
      <w:r w:rsidR="008805AF">
        <w:fldChar w:fldCharType="separate"/>
      </w:r>
      <w:r w:rsidR="008805AF">
        <w:t xml:space="preserve">Figure </w:t>
      </w:r>
      <w:r w:rsidR="008805AF">
        <w:rPr>
          <w:noProof/>
        </w:rPr>
        <w:t>1</w:t>
      </w:r>
      <w:r w:rsidR="008805AF">
        <w:fldChar w:fldCharType="end"/>
      </w:r>
      <w:r w:rsidR="008805AF">
        <w:t xml:space="preserve"> below illustrates the two parts of the </w:t>
      </w:r>
      <w:r w:rsidR="003435DD">
        <w:t>CO</w:t>
      </w:r>
      <w:r w:rsidR="003435DD" w:rsidRPr="00882AC1">
        <w:rPr>
          <w:vertAlign w:val="subscript"/>
        </w:rPr>
        <w:t>2</w:t>
      </w:r>
      <w:r w:rsidR="003435DD">
        <w:rPr>
          <w:vertAlign w:val="subscript"/>
        </w:rPr>
        <w:t xml:space="preserve"> </w:t>
      </w:r>
      <w:r w:rsidR="003435DD">
        <w:t>emissions</w:t>
      </w:r>
      <w:r w:rsidR="008805AF">
        <w:t xml:space="preserve"> impacts from fuel substitution measures.  For this </w:t>
      </w:r>
      <w:r w:rsidR="00845D5E">
        <w:t>example,</w:t>
      </w:r>
      <w:r w:rsidR="008805AF">
        <w:t xml:space="preserve"> we assume an electricity load increase, but the inverse response would be expected from an electricity load decrease</w:t>
      </w:r>
      <w:r w:rsidR="00D46BA6">
        <w:t>,</w:t>
      </w:r>
      <w:r w:rsidR="008805AF">
        <w:t xml:space="preserve"> including a corresponding change in the generation supply portfolio.</w:t>
      </w:r>
    </w:p>
    <w:p w14:paraId="17C73414" w14:textId="77777777" w:rsidR="00EB1F49" w:rsidRDefault="00EB1F49" w:rsidP="008805AF"/>
    <w:p w14:paraId="467A6A78" w14:textId="779D23D7" w:rsidR="008805AF" w:rsidRDefault="008805AF" w:rsidP="008805AF">
      <w:pPr>
        <w:pStyle w:val="Caption"/>
        <w:rPr>
          <w:b/>
          <w:bCs/>
        </w:rPr>
      </w:pPr>
      <w:bookmarkStart w:id="135" w:name="_Ref19024492"/>
      <w:r>
        <w:t xml:space="preserve">Figure </w:t>
      </w:r>
      <w:fldSimple w:instr=" SEQ Figure \* ARABIC ">
        <w:r w:rsidRPr="00D10656">
          <w:t>1</w:t>
        </w:r>
      </w:fldSimple>
      <w:bookmarkEnd w:id="135"/>
      <w:r>
        <w:t xml:space="preserve">: </w:t>
      </w:r>
      <w:r>
        <w:rPr>
          <w:b/>
          <w:bCs/>
        </w:rPr>
        <w:t>Conceptual approach to estimating electricity emissions from fuel substitution measures</w:t>
      </w:r>
      <w:r>
        <w:rPr>
          <w:noProof/>
        </w:rPr>
        <w:drawing>
          <wp:inline distT="0" distB="0" distL="0" distR="0" wp14:anchorId="7B1B4B65" wp14:editId="13672903">
            <wp:extent cx="5257800" cy="213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57800" cy="2133600"/>
                    </a:xfrm>
                    <a:prstGeom prst="rect">
                      <a:avLst/>
                    </a:prstGeom>
                    <a:noFill/>
                    <a:ln>
                      <a:noFill/>
                    </a:ln>
                  </pic:spPr>
                </pic:pic>
              </a:graphicData>
            </a:graphic>
          </wp:inline>
        </w:drawing>
      </w:r>
    </w:p>
    <w:p w14:paraId="26E0E38C" w14:textId="77777777" w:rsidR="0065259A" w:rsidRPr="0065259A" w:rsidRDefault="0065259A" w:rsidP="0065259A"/>
    <w:p w14:paraId="1F9231DB" w14:textId="3CF7209B" w:rsidR="5F7B1CBD" w:rsidRPr="00EA3AEA" w:rsidRDefault="5F7B1CBD" w:rsidP="00EA3AEA">
      <w:pPr>
        <w:rPr>
          <w:rFonts w:eastAsiaTheme="majorEastAsia" w:cstheme="majorBidi"/>
          <w:color w:val="00516F" w:themeColor="accent1" w:themeShade="7F"/>
          <w:sz w:val="24"/>
          <w:szCs w:val="24"/>
        </w:rPr>
      </w:pPr>
      <w:r w:rsidRPr="00EA3AEA">
        <w:rPr>
          <w:rFonts w:eastAsiaTheme="majorEastAsia" w:cstheme="majorBidi"/>
          <w:color w:val="00516F" w:themeColor="accent1" w:themeShade="7F"/>
          <w:sz w:val="24"/>
          <w:szCs w:val="24"/>
        </w:rPr>
        <w:t xml:space="preserve">Measuring </w:t>
      </w:r>
      <w:r w:rsidR="29466563" w:rsidRPr="00EA3AEA">
        <w:rPr>
          <w:rFonts w:eastAsiaTheme="majorEastAsia" w:cstheme="majorBidi"/>
          <w:color w:val="00516F" w:themeColor="accent1" w:themeShade="7F"/>
          <w:sz w:val="24"/>
          <w:szCs w:val="24"/>
        </w:rPr>
        <w:t>the Direct Emissions Im</w:t>
      </w:r>
      <w:r w:rsidR="3FF29E87" w:rsidRPr="00EA3AEA">
        <w:rPr>
          <w:rFonts w:eastAsiaTheme="majorEastAsia" w:cstheme="majorBidi"/>
          <w:color w:val="00516F" w:themeColor="accent1" w:themeShade="7F"/>
          <w:sz w:val="24"/>
          <w:szCs w:val="24"/>
        </w:rPr>
        <w:t>pact</w:t>
      </w:r>
    </w:p>
    <w:p w14:paraId="6FAAB532" w14:textId="77777777" w:rsidR="00EA3AEA" w:rsidRPr="00EA3AEA" w:rsidRDefault="00EA3AEA" w:rsidP="00EA3AEA"/>
    <w:p w14:paraId="74AE79AE" w14:textId="70497D45" w:rsidR="008805AF" w:rsidRDefault="1B9BF2E6" w:rsidP="008805AF">
      <w:r>
        <w:t xml:space="preserve">The </w:t>
      </w:r>
      <w:r w:rsidR="00E74C23">
        <w:t xml:space="preserve">CPUC’s </w:t>
      </w:r>
      <w:r w:rsidR="3CAC562D">
        <w:t>Avoided Cost C</w:t>
      </w:r>
      <w:r w:rsidR="383C2E5A">
        <w:t>alculator (ACC)</w:t>
      </w:r>
      <w:r w:rsidR="004A7F0D">
        <w:rPr>
          <w:rStyle w:val="FootnoteReference"/>
        </w:rPr>
        <w:footnoteReference w:id="31"/>
      </w:r>
      <w:r w:rsidR="383C2E5A">
        <w:t xml:space="preserve"> currently me</w:t>
      </w:r>
      <w:r w:rsidR="2B6B5959">
        <w:t>asures the direct em</w:t>
      </w:r>
      <w:r w:rsidR="2B08A781">
        <w:t xml:space="preserve">issions impact of </w:t>
      </w:r>
      <w:r w:rsidR="443EA531">
        <w:t>increased load</w:t>
      </w:r>
      <w:r w:rsidR="4D9C4A44">
        <w:t>.</w:t>
      </w:r>
      <w:r w:rsidR="443EA531">
        <w:t xml:space="preserve"> </w:t>
      </w:r>
      <w:r w:rsidR="008805AF">
        <w:t xml:space="preserve">In </w:t>
      </w:r>
      <w:r w:rsidR="4D9C4A44">
        <w:t>Figure 1</w:t>
      </w:r>
      <w:r w:rsidR="69FB1EEA">
        <w:t>,</w:t>
      </w:r>
      <w:r w:rsidR="008805AF">
        <w:t xml:space="preserve"> the direct emissions impact </w:t>
      </w:r>
      <w:r w:rsidR="69FB1EEA">
        <w:t>is represented by the dark</w:t>
      </w:r>
      <w:r w:rsidR="00EB1F49">
        <w:t xml:space="preserve"> blue arrow</w:t>
      </w:r>
      <w:r w:rsidR="00FE5D87">
        <w:t xml:space="preserve"> pointing </w:t>
      </w:r>
      <w:r w:rsidR="6738D2E4">
        <w:t>upwards on</w:t>
      </w:r>
      <w:r w:rsidR="12E8094A">
        <w:t xml:space="preserve"> the far left of the grap</w:t>
      </w:r>
      <w:r w:rsidR="4ADEBD4F">
        <w:t xml:space="preserve">h. </w:t>
      </w:r>
      <w:r w:rsidR="60C99160">
        <w:t>Fo</w:t>
      </w:r>
      <w:r w:rsidR="008805AF">
        <w:t>r fuel substitution</w:t>
      </w:r>
      <w:r w:rsidR="4B605900">
        <w:t xml:space="preserve"> measures</w:t>
      </w:r>
      <w:r w:rsidR="008805AF">
        <w:t>, the marginal generation emission</w:t>
      </w:r>
      <w:r w:rsidR="00760E09">
        <w:t>s</w:t>
      </w:r>
      <w:r w:rsidR="008805AF">
        <w:t xml:space="preserve"> factors for each year (</w:t>
      </w:r>
      <w:r w:rsidR="00210D2B">
        <w:t xml:space="preserve">i.e., </w:t>
      </w:r>
      <w:r w:rsidR="008805AF">
        <w:t>8760</w:t>
      </w:r>
      <w:r w:rsidR="00A96C2C">
        <w:t xml:space="preserve"> hourly factors</w:t>
      </w:r>
      <w:r w:rsidR="008805AF">
        <w:t>) w</w:t>
      </w:r>
      <w:r w:rsidR="3086A227">
        <w:t>as</w:t>
      </w:r>
      <w:r w:rsidR="008805AF">
        <w:t xml:space="preserve"> multiplied by the </w:t>
      </w:r>
      <w:r w:rsidR="006A386C">
        <w:t xml:space="preserve">hourly </w:t>
      </w:r>
      <w:r w:rsidR="008805AF">
        <w:t>change in electricity load</w:t>
      </w:r>
      <w:r w:rsidR="007F0CFC">
        <w:t>, while</w:t>
      </w:r>
      <w:r w:rsidR="008805AF">
        <w:t xml:space="preserve"> the change in natural gas consumption </w:t>
      </w:r>
      <w:r w:rsidR="007F0CFC">
        <w:t>w</w:t>
      </w:r>
      <w:r w:rsidR="7D7F528F">
        <w:t>as</w:t>
      </w:r>
      <w:r w:rsidR="007F0CFC">
        <w:t xml:space="preserve"> </w:t>
      </w:r>
      <w:r w:rsidR="008805AF">
        <w:t>multiplied by the CO</w:t>
      </w:r>
      <w:r w:rsidR="008805AF" w:rsidRPr="00D10656">
        <w:rPr>
          <w:vertAlign w:val="subscript"/>
        </w:rPr>
        <w:t>2</w:t>
      </w:r>
      <w:r w:rsidR="008805AF">
        <w:t xml:space="preserve"> emissions that result from natural gas combustion</w:t>
      </w:r>
      <w:r w:rsidR="00D327AB">
        <w:t xml:space="preserve"> (a fixed factor)</w:t>
      </w:r>
      <w:r w:rsidR="008805AF">
        <w:t>.  This calculation is already embedded in the cost-effectiveness framework in the Avoided Cost Calculator</w:t>
      </w:r>
      <w:r w:rsidR="00A92421">
        <w:t>,</w:t>
      </w:r>
      <w:r w:rsidR="008805AF">
        <w:t xml:space="preserve"> and the result is then multiplied by the ‘GHG Adder’ to determine </w:t>
      </w:r>
      <w:r w:rsidR="00E62E84">
        <w:t>the emissions</w:t>
      </w:r>
      <w:r w:rsidR="008805AF">
        <w:t xml:space="preserve"> component of a measure’s </w:t>
      </w:r>
      <w:r w:rsidR="009D6260">
        <w:t xml:space="preserve">net </w:t>
      </w:r>
      <w:r w:rsidR="008805AF">
        <w:t>benefit.</w:t>
      </w:r>
    </w:p>
    <w:p w14:paraId="162C6ED0" w14:textId="77777777" w:rsidR="00613427" w:rsidRDefault="00613427" w:rsidP="008805AF"/>
    <w:p w14:paraId="29836F3E" w14:textId="015428FF" w:rsidR="0021603E" w:rsidRDefault="0021603E">
      <w:pPr>
        <w:rPr>
          <w:b/>
          <w:bCs/>
        </w:rPr>
      </w:pPr>
    </w:p>
    <w:p w14:paraId="14B57CE8" w14:textId="77777777" w:rsidR="0021603E" w:rsidRDefault="0021603E">
      <w:pPr>
        <w:rPr>
          <w:b/>
          <w:bCs/>
        </w:rPr>
      </w:pPr>
    </w:p>
    <w:p w14:paraId="5C7A7D27" w14:textId="43F1ACEA" w:rsidR="3D9E848E" w:rsidRPr="00EA3AEA" w:rsidRDefault="3D9E848E">
      <w:pPr>
        <w:rPr>
          <w:rFonts w:eastAsiaTheme="majorEastAsia" w:cstheme="majorBidi"/>
          <w:color w:val="00516F" w:themeColor="accent1" w:themeShade="7F"/>
          <w:sz w:val="24"/>
          <w:szCs w:val="24"/>
        </w:rPr>
      </w:pPr>
      <w:r w:rsidRPr="00EA3AEA">
        <w:rPr>
          <w:rFonts w:eastAsiaTheme="majorEastAsia" w:cstheme="majorBidi"/>
          <w:color w:val="00516F" w:themeColor="accent1" w:themeShade="7F"/>
          <w:sz w:val="24"/>
          <w:szCs w:val="24"/>
        </w:rPr>
        <w:t>Measuri</w:t>
      </w:r>
      <w:r w:rsidR="49D6EFD8" w:rsidRPr="00EA3AEA">
        <w:rPr>
          <w:rFonts w:eastAsiaTheme="majorEastAsia" w:cstheme="majorBidi"/>
          <w:color w:val="00516F" w:themeColor="accent1" w:themeShade="7F"/>
          <w:sz w:val="24"/>
          <w:szCs w:val="24"/>
        </w:rPr>
        <w:t>ng Supply Side Response to Increased Lo</w:t>
      </w:r>
      <w:r w:rsidR="3367F2EE" w:rsidRPr="00EA3AEA">
        <w:rPr>
          <w:rFonts w:eastAsiaTheme="majorEastAsia" w:cstheme="majorBidi"/>
          <w:color w:val="00516F" w:themeColor="accent1" w:themeShade="7F"/>
          <w:sz w:val="24"/>
          <w:szCs w:val="24"/>
        </w:rPr>
        <w:t>ad</w:t>
      </w:r>
    </w:p>
    <w:p w14:paraId="70273974" w14:textId="737F98D0" w:rsidR="795D85C9" w:rsidRDefault="795D85C9"/>
    <w:p w14:paraId="38C02BE1" w14:textId="2E0F6ACF" w:rsidR="008805AF" w:rsidRDefault="0F02CB74" w:rsidP="008805AF">
      <w:r>
        <w:t xml:space="preserve">When </w:t>
      </w:r>
      <w:r w:rsidR="3918F3FF">
        <w:t xml:space="preserve">load increases, </w:t>
      </w:r>
      <w:r w:rsidR="04073ACB">
        <w:t xml:space="preserve">the </w:t>
      </w:r>
      <w:r w:rsidR="4244C659">
        <w:t>utility</w:t>
      </w:r>
      <w:r w:rsidR="05191D4E">
        <w:t xml:space="preserve"> or supply side generation </w:t>
      </w:r>
      <w:r w:rsidR="38361EF6">
        <w:t>entity responds</w:t>
      </w:r>
      <w:r w:rsidR="1BA99CFC">
        <w:t xml:space="preserve">. This response is </w:t>
      </w:r>
      <w:r w:rsidR="008805AF">
        <w:t>d</w:t>
      </w:r>
      <w:r w:rsidR="00FB061D">
        <w:t xml:space="preserve">epicted </w:t>
      </w:r>
      <w:r w:rsidR="208E4DE2">
        <w:t>in Figure 1 as the light blue ar</w:t>
      </w:r>
      <w:r w:rsidR="6CA5F624">
        <w:t xml:space="preserve">row pointing downwards (middle </w:t>
      </w:r>
      <w:r w:rsidR="3BBED62F">
        <w:t>arrow</w:t>
      </w:r>
      <w:r w:rsidR="00207338">
        <w:t>).</w:t>
      </w:r>
      <w:r w:rsidR="0065780B">
        <w:t xml:space="preserve"> To estimate the </w:t>
      </w:r>
      <w:r w:rsidR="00E80528">
        <w:t xml:space="preserve">supply side response, the technical development team </w:t>
      </w:r>
      <w:r w:rsidR="0071677A">
        <w:t xml:space="preserve">made some </w:t>
      </w:r>
      <w:r w:rsidR="008805AF">
        <w:t>assumptions about the electricity supply portfolio.  The 2017-2018 Reference System Plan</w:t>
      </w:r>
      <w:r w:rsidR="006415DE">
        <w:rPr>
          <w:rStyle w:val="FootnoteReference"/>
        </w:rPr>
        <w:footnoteReference w:id="32"/>
      </w:r>
      <w:r w:rsidR="008805AF">
        <w:t xml:space="preserve"> has adopted a statewide target of 42MMt CO</w:t>
      </w:r>
      <w:r w:rsidR="0030305B" w:rsidRPr="00882AC1">
        <w:rPr>
          <w:vertAlign w:val="subscript"/>
        </w:rPr>
        <w:t>2</w:t>
      </w:r>
      <w:r w:rsidR="008805AF">
        <w:t>e in 2030.  If taken strictly as a limit regardless of electricity load levels, then the response of the generation supply portfolio would be to fully offset the direct emissions of fuel substitution measures and the net effect would be that there are no emissions attributable to fuel substitution.  This strict interpretation does not reflect the fact that the 42MMt CO</w:t>
      </w:r>
      <w:r w:rsidR="001417F1" w:rsidRPr="00882AC1">
        <w:rPr>
          <w:vertAlign w:val="subscript"/>
        </w:rPr>
        <w:t>2</w:t>
      </w:r>
      <w:r w:rsidR="008805AF">
        <w:t>e target was established after consideration of numerous scenarios of loads and resources as a reasonable balance of cost and GHG reductions.  Therefore, it is reasonable to assume that a different target would have been established had there been significantly more electricity load from fuel substitution programs.</w:t>
      </w:r>
    </w:p>
    <w:p w14:paraId="237E4BC1" w14:textId="77777777" w:rsidR="008F2F8B" w:rsidRDefault="008F2F8B" w:rsidP="008805AF"/>
    <w:p w14:paraId="3F603B5E" w14:textId="2E4C3400" w:rsidR="008805AF" w:rsidRDefault="008805AF" w:rsidP="008805AF">
      <w:r>
        <w:t>Rather than assume the supply portfolio fully offsets direct emissions in response to fuel substitution, we assume that supply-side investments will be made such that the emissions intensity trajectory adopted in the</w:t>
      </w:r>
      <w:r w:rsidR="00E74C23">
        <w:t xml:space="preserve"> CPUC’s</w:t>
      </w:r>
      <w:r>
        <w:t xml:space="preserve"> IRP Reference System Plan is maintained.  By using an assumption of constant intensity for the Fuel Substitution Test</w:t>
      </w:r>
      <w:r w:rsidR="00684919">
        <w:t>,</w:t>
      </w:r>
      <w:r>
        <w:t xml:space="preserve"> we believe we can preserve the balance of cost and GHG reductions considered in the IRP proceeding.  The implication is that we are assuming that if there were fuel substitution measures introduced then the electricity sector emissions would be allowed to rise above 42MMt CO</w:t>
      </w:r>
      <w:r w:rsidR="00A62340" w:rsidRPr="00882AC1">
        <w:rPr>
          <w:vertAlign w:val="subscript"/>
        </w:rPr>
        <w:t>2</w:t>
      </w:r>
      <w:r>
        <w:t>e</w:t>
      </w:r>
      <w:r w:rsidR="00A62340">
        <w:t>,</w:t>
      </w:r>
      <w:r>
        <w:t xml:space="preserve"> </w:t>
      </w:r>
      <w:proofErr w:type="gramStart"/>
      <w:r>
        <w:t>as long as</w:t>
      </w:r>
      <w:proofErr w:type="gramEnd"/>
      <w:r>
        <w:t xml:space="preserve"> there were </w:t>
      </w:r>
      <w:r w:rsidR="0071677A">
        <w:t>CO</w:t>
      </w:r>
      <w:r w:rsidR="0071677A" w:rsidRPr="00882AC1">
        <w:rPr>
          <w:vertAlign w:val="subscript"/>
        </w:rPr>
        <w:t>2</w:t>
      </w:r>
      <w:r w:rsidR="0071677A">
        <w:t>e</w:t>
      </w:r>
      <w:r>
        <w:t xml:space="preserve"> savings in the economy overall.  </w:t>
      </w:r>
    </w:p>
    <w:p w14:paraId="2A568347" w14:textId="77777777" w:rsidR="00B57945" w:rsidRDefault="00B57945" w:rsidP="008805AF"/>
    <w:p w14:paraId="69D25CD0" w14:textId="12C97BD7" w:rsidR="008805AF" w:rsidRDefault="008805AF" w:rsidP="008805AF">
      <w:r>
        <w:t xml:space="preserve">The proposed test for </w:t>
      </w:r>
      <w:r w:rsidR="00881CC9">
        <w:t>life-cycle</w:t>
      </w:r>
      <w:r w:rsidR="006E08F6">
        <w:t xml:space="preserve"> </w:t>
      </w:r>
      <w:r w:rsidR="0071677A">
        <w:t>CO</w:t>
      </w:r>
      <w:r w:rsidR="0071677A" w:rsidRPr="00882AC1">
        <w:rPr>
          <w:vertAlign w:val="subscript"/>
        </w:rPr>
        <w:t>2</w:t>
      </w:r>
      <w:r>
        <w:t xml:space="preserve"> emissions </w:t>
      </w:r>
      <w:r w:rsidR="00A62340">
        <w:t xml:space="preserve">measures </w:t>
      </w:r>
      <w:r>
        <w:t xml:space="preserve">the change in electricity emissions assuming </w:t>
      </w:r>
      <w:r w:rsidR="006E08F6">
        <w:t>this</w:t>
      </w:r>
      <w:r w:rsidR="00773D0D">
        <w:t xml:space="preserve"> </w:t>
      </w:r>
      <w:r>
        <w:t xml:space="preserve">intensity </w:t>
      </w:r>
      <w:r w:rsidR="000222F6">
        <w:t>trajectory and</w:t>
      </w:r>
      <w:r w:rsidR="00773D0D">
        <w:t xml:space="preserve"> compares</w:t>
      </w:r>
      <w:r w:rsidR="00595B2C">
        <w:t xml:space="preserve"> that change to</w:t>
      </w:r>
      <w:r>
        <w:t xml:space="preserve"> the change in natural gas emissions</w:t>
      </w:r>
      <w:r w:rsidR="00145CDA">
        <w:t xml:space="preserve"> in order</w:t>
      </w:r>
      <w:r>
        <w:t xml:space="preserve"> to verify that economy-wide reductions would </w:t>
      </w:r>
      <w:r w:rsidR="0071677A">
        <w:t>be achieved</w:t>
      </w:r>
      <w:r>
        <w:t>.</w:t>
      </w:r>
    </w:p>
    <w:p w14:paraId="75EA06C6" w14:textId="77777777" w:rsidR="00312E00" w:rsidRDefault="00312E00" w:rsidP="008805AF"/>
    <w:p w14:paraId="6C530588" w14:textId="0AD0B466" w:rsidR="00E144FC" w:rsidRPr="00E144FC" w:rsidDel="006928ED" w:rsidRDefault="00E144FC" w:rsidP="00E144FC">
      <w:pPr>
        <w:rPr>
          <w:rFonts w:eastAsiaTheme="majorEastAsia" w:cstheme="majorBidi"/>
          <w:b/>
          <w:bCs/>
          <w:color w:val="007BA7" w:themeColor="accent1" w:themeShade="BF"/>
          <w:sz w:val="26"/>
          <w:szCs w:val="26"/>
        </w:rPr>
      </w:pPr>
      <w:r w:rsidRPr="00E144FC">
        <w:rPr>
          <w:rFonts w:eastAsiaTheme="majorEastAsia" w:cstheme="majorBidi"/>
          <w:b/>
          <w:bCs/>
          <w:color w:val="007BA7" w:themeColor="accent1" w:themeShade="BF"/>
          <w:sz w:val="26"/>
          <w:szCs w:val="26"/>
        </w:rPr>
        <w:t>Development of Source Energy and Emissions Intensity Factors</w:t>
      </w:r>
    </w:p>
    <w:p w14:paraId="06492E3F" w14:textId="0465469D" w:rsidR="00D025D7" w:rsidRPr="00D025D7" w:rsidDel="006928ED" w:rsidRDefault="00D025D7" w:rsidP="00D025D7"/>
    <w:p w14:paraId="0DEAEBB1" w14:textId="102D5F1A" w:rsidR="008805AF" w:rsidDel="006928ED" w:rsidRDefault="008805AF" w:rsidP="008805AF">
      <w:r w:rsidDel="006928ED">
        <w:t xml:space="preserve">In order to estimate source </w:t>
      </w:r>
      <w:r w:rsidR="00D025D7" w:rsidDel="006928ED">
        <w:t>energy,</w:t>
      </w:r>
      <w:r w:rsidDel="006928ED">
        <w:t xml:space="preserve"> we develop factors to measure the increase or decrease in energy consumed by the change in electric generation and natural gas usage. We propose to use long-run factors that include the supply-side response to an increase in electricity load</w:t>
      </w:r>
      <w:r w:rsidR="00145CDA">
        <w:t>,</w:t>
      </w:r>
      <w:r w:rsidDel="006928ED">
        <w:t xml:space="preserve"> in the same way that it is applied to </w:t>
      </w:r>
      <w:r w:rsidR="00BF6440">
        <w:t>CO</w:t>
      </w:r>
      <w:r w:rsidR="00BF6440" w:rsidRPr="00882AC1">
        <w:rPr>
          <w:vertAlign w:val="subscript"/>
        </w:rPr>
        <w:t>2</w:t>
      </w:r>
      <w:r w:rsidR="00BF6440">
        <w:rPr>
          <w:vertAlign w:val="subscript"/>
        </w:rPr>
        <w:t xml:space="preserve"> </w:t>
      </w:r>
      <w:r w:rsidR="00BF6440">
        <w:t>emissions</w:t>
      </w:r>
      <w:r w:rsidDel="006928ED">
        <w:t>.</w:t>
      </w:r>
    </w:p>
    <w:p w14:paraId="39029548" w14:textId="77777777" w:rsidR="006522AD" w:rsidRDefault="006522AD" w:rsidP="008805AF"/>
    <w:p w14:paraId="0860A8AA" w14:textId="6E832000" w:rsidR="008805AF" w:rsidDel="006928ED" w:rsidRDefault="006522AD" w:rsidP="008805AF">
      <w:r>
        <w:t>A</w:t>
      </w:r>
      <w:r w:rsidDel="006928ED">
        <w:t xml:space="preserve"> </w:t>
      </w:r>
      <w:r w:rsidR="008805AF" w:rsidDel="006928ED">
        <w:t xml:space="preserve">key question in developing </w:t>
      </w:r>
      <w:r w:rsidR="00AC4668">
        <w:t>the intensity</w:t>
      </w:r>
      <w:r w:rsidR="008805AF" w:rsidDel="006928ED">
        <w:t xml:space="preserve"> factors is what the source energy content is of renewable energy and other zero-emission generation resources.  We propose that the source energy of non-emitting, non-depletable resources be zero.  For example, the </w:t>
      </w:r>
      <w:r w:rsidR="00AA7BCC">
        <w:t>solar irradiance that is the input to solar power</w:t>
      </w:r>
      <w:r w:rsidR="008805AF" w:rsidDel="006928ED">
        <w:t xml:space="preserve"> is a non-depletable resource and should be considered zero source energy.  We also apply the </w:t>
      </w:r>
      <w:r w:rsidR="00D025D7" w:rsidDel="006928ED">
        <w:t>zero-source</w:t>
      </w:r>
      <w:r w:rsidR="008805AF" w:rsidDel="006928ED">
        <w:t xml:space="preserve"> energy assumption to wind</w:t>
      </w:r>
      <w:r w:rsidR="00EB5E38">
        <w:t xml:space="preserve"> and</w:t>
      </w:r>
      <w:r w:rsidR="008805AF" w:rsidDel="006928ED">
        <w:t xml:space="preserve"> hydro-electric generation.</w:t>
      </w:r>
    </w:p>
    <w:p w14:paraId="0BF9042A" w14:textId="77777777" w:rsidR="00AA7BCC" w:rsidRDefault="00AA7BCC" w:rsidP="008805AF"/>
    <w:p w14:paraId="72A31A8C" w14:textId="76FC458F" w:rsidR="008805AF" w:rsidDel="006928ED" w:rsidRDefault="008805AF" w:rsidP="00202B7B">
      <w:r w:rsidDel="006928ED">
        <w:t xml:space="preserve">With this definition, the only source energy Btu are from natural gas combustion.  This is either </w:t>
      </w:r>
      <w:r w:rsidR="00EB30F4">
        <w:t>through</w:t>
      </w:r>
      <w:r w:rsidR="00EB30F4" w:rsidDel="006928ED">
        <w:t xml:space="preserve"> </w:t>
      </w:r>
      <w:r w:rsidDel="006928ED">
        <w:t xml:space="preserve">power generation or in direct combustion </w:t>
      </w:r>
      <w:r w:rsidR="00EB30F4">
        <w:t>for</w:t>
      </w:r>
      <w:r w:rsidDel="006928ED">
        <w:t xml:space="preserve"> the end-use.  California does not have any non-natural gas fossil generation on the margin.  Therefore, there is a simple conversion from source Btu to </w:t>
      </w:r>
      <w:r w:rsidR="000222F6">
        <w:t>CO</w:t>
      </w:r>
      <w:r w:rsidR="000222F6" w:rsidRPr="00882AC1">
        <w:rPr>
          <w:vertAlign w:val="subscript"/>
        </w:rPr>
        <w:t>2</w:t>
      </w:r>
      <w:r w:rsidDel="006928ED">
        <w:t xml:space="preserve"> emissions based on the CO</w:t>
      </w:r>
      <w:r w:rsidR="00D7011F" w:rsidRPr="00882AC1">
        <w:rPr>
          <w:vertAlign w:val="subscript"/>
        </w:rPr>
        <w:t>2</w:t>
      </w:r>
      <w:r w:rsidDel="006928ED">
        <w:t xml:space="preserve"> emissions per Btu of natural gas (~=18.84 MMBtu per </w:t>
      </w:r>
      <w:proofErr w:type="spellStart"/>
      <w:r w:rsidDel="006928ED">
        <w:t>tonne</w:t>
      </w:r>
      <w:proofErr w:type="spellEnd"/>
      <w:r w:rsidDel="006928ED">
        <w:t xml:space="preserve"> CO</w:t>
      </w:r>
      <w:r w:rsidR="00D7011F" w:rsidRPr="00882AC1">
        <w:rPr>
          <w:vertAlign w:val="subscript"/>
        </w:rPr>
        <w:t>2</w:t>
      </w:r>
      <w:r w:rsidDel="006928ED">
        <w:t>).</w:t>
      </w:r>
      <w:r w:rsidR="00175394">
        <w:t xml:space="preserve"> </w:t>
      </w:r>
      <w:r w:rsidDel="006928ED">
        <w:t xml:space="preserve">The implication is that the Fuel Substitution Test for Source Energy </w:t>
      </w:r>
      <w:r w:rsidDel="006928ED">
        <w:lastRenderedPageBreak/>
        <w:t>(‘</w:t>
      </w:r>
      <w:r w:rsidR="00175394">
        <w:t>Part One</w:t>
      </w:r>
      <w:r w:rsidDel="006928ED">
        <w:t xml:space="preserve">’) and the Fuel Substitution Test for </w:t>
      </w:r>
      <w:r w:rsidR="00334D64">
        <w:t>CO</w:t>
      </w:r>
      <w:r w:rsidR="00334D64" w:rsidRPr="00882AC1">
        <w:rPr>
          <w:vertAlign w:val="subscript"/>
        </w:rPr>
        <w:t>2</w:t>
      </w:r>
      <w:r w:rsidR="00334D64">
        <w:rPr>
          <w:vertAlign w:val="subscript"/>
        </w:rPr>
        <w:t xml:space="preserve"> </w:t>
      </w:r>
      <w:r w:rsidDel="006928ED">
        <w:t>emissions (‘</w:t>
      </w:r>
      <w:r w:rsidR="00175394">
        <w:t>Part Two</w:t>
      </w:r>
      <w:r w:rsidDel="006928ED">
        <w:t>) are effectively the same test with different units.</w:t>
      </w:r>
    </w:p>
    <w:p w14:paraId="17F6C014" w14:textId="3DBBC0F3" w:rsidR="00312E00" w:rsidRPr="00312E00" w:rsidDel="006928ED" w:rsidRDefault="00312E00" w:rsidP="00312E00"/>
    <w:p w14:paraId="763E5455" w14:textId="1E891009" w:rsidR="008805AF" w:rsidRDefault="008805AF" w:rsidP="008805AF">
      <w:r w:rsidDel="006928ED">
        <w:t>In order to develop the factors for the Fuel Substitution Test we rely heavily on the 2017-2018 Reference System Plan adopted in the</w:t>
      </w:r>
      <w:r w:rsidR="00E74C23">
        <w:t xml:space="preserve"> CPUC’s</w:t>
      </w:r>
      <w:r w:rsidDel="006928ED">
        <w:t xml:space="preserve"> IRP Proceeding (R.16-02-007).  We believe that linking the input values for the Fuel Substitution Test to the IRP process has several benefits.</w:t>
      </w:r>
    </w:p>
    <w:p w14:paraId="0B38F374" w14:textId="77777777" w:rsidR="00E74C23" w:rsidDel="006928ED" w:rsidRDefault="00E74C23" w:rsidP="008805AF"/>
    <w:p w14:paraId="50363B3C" w14:textId="2EA03DD1" w:rsidR="008805AF" w:rsidDel="006928ED" w:rsidRDefault="008805AF" w:rsidP="0087344F">
      <w:pPr>
        <w:pStyle w:val="ListParagraph"/>
        <w:numPr>
          <w:ilvl w:val="0"/>
          <w:numId w:val="15"/>
        </w:numPr>
        <w:spacing w:after="160" w:line="256" w:lineRule="auto"/>
      </w:pPr>
      <w:r w:rsidDel="006928ED">
        <w:t>Using the</w:t>
      </w:r>
      <w:r w:rsidR="00FC3CE5">
        <w:t xml:space="preserve"> CPUC</w:t>
      </w:r>
      <w:r w:rsidDel="006928ED">
        <w:t xml:space="preserve"> adopted Reference System Plan closely aligns the Fuel Substitution Test with the </w:t>
      </w:r>
      <w:r w:rsidR="0081590E">
        <w:t>CPUC’s</w:t>
      </w:r>
      <w:r w:rsidDel="006928ED">
        <w:t xml:space="preserve"> long-term planning for the electricity sector and its associated emissions trajectory.  </w:t>
      </w:r>
    </w:p>
    <w:p w14:paraId="4B8B5E76" w14:textId="049DCE9E" w:rsidR="008805AF" w:rsidDel="006928ED" w:rsidRDefault="008805AF" w:rsidP="0087344F">
      <w:pPr>
        <w:pStyle w:val="ListParagraph"/>
        <w:numPr>
          <w:ilvl w:val="0"/>
          <w:numId w:val="15"/>
        </w:numPr>
        <w:spacing w:after="160" w:line="256" w:lineRule="auto"/>
      </w:pPr>
      <w:r w:rsidDel="006928ED">
        <w:t>The</w:t>
      </w:r>
      <w:r w:rsidR="00FC3CE5">
        <w:t xml:space="preserve"> CPUC</w:t>
      </w:r>
      <w:r w:rsidDel="006928ED">
        <w:t xml:space="preserve"> IRP has been established with a regular two-year cycle and will therefore be regularly updated as the Commission moves along in its IRP process.  Therefore, the appropriate factors used in the Fuel Substitution Test can easily be updated over time.</w:t>
      </w:r>
    </w:p>
    <w:p w14:paraId="3CB3C3C3" w14:textId="361AA59C" w:rsidR="008805AF" w:rsidRDefault="008805AF" w:rsidP="0087344F">
      <w:pPr>
        <w:pStyle w:val="ListParagraph"/>
        <w:numPr>
          <w:ilvl w:val="0"/>
          <w:numId w:val="15"/>
        </w:numPr>
        <w:spacing w:after="160" w:line="256" w:lineRule="auto"/>
      </w:pPr>
      <w:r w:rsidDel="006928ED">
        <w:t xml:space="preserve">In its IRP proceeding the </w:t>
      </w:r>
      <w:r w:rsidR="00FC3CE5">
        <w:t>CPUC</w:t>
      </w:r>
      <w:r w:rsidR="00FC3CE5" w:rsidDel="006928ED">
        <w:t xml:space="preserve"> </w:t>
      </w:r>
      <w:r w:rsidDel="006928ED">
        <w:t>considers (among other things) the cost of the electricity portfolio and the GHG trajectory to adopt in the Reference System Plan.  Therefore, linking the Fuel Substitution Test to the emissions intensity in the IRP process captures the result of this deliberation and is re-assessed in each two-year cycle.</w:t>
      </w:r>
    </w:p>
    <w:p w14:paraId="0D8991A0" w14:textId="0D70C8DC" w:rsidR="00312E00" w:rsidRPr="00E144FC" w:rsidRDefault="008805AF" w:rsidP="00E144FC">
      <w:pPr>
        <w:rPr>
          <w:rFonts w:eastAsiaTheme="majorEastAsia" w:cstheme="majorBidi"/>
          <w:color w:val="00516F" w:themeColor="accent1" w:themeShade="7F"/>
          <w:sz w:val="24"/>
          <w:szCs w:val="24"/>
        </w:rPr>
      </w:pPr>
      <w:r w:rsidRPr="00E144FC">
        <w:rPr>
          <w:rFonts w:eastAsiaTheme="majorEastAsia" w:cstheme="majorBidi"/>
          <w:color w:val="00516F" w:themeColor="accent1" w:themeShade="7F"/>
          <w:sz w:val="24"/>
          <w:szCs w:val="24"/>
        </w:rPr>
        <w:t xml:space="preserve">Data </w:t>
      </w:r>
      <w:r w:rsidR="0074428E" w:rsidRPr="00E144FC">
        <w:rPr>
          <w:rFonts w:eastAsiaTheme="majorEastAsia" w:cstheme="majorBidi"/>
          <w:color w:val="00516F" w:themeColor="accent1" w:themeShade="7F"/>
          <w:sz w:val="24"/>
          <w:szCs w:val="24"/>
        </w:rPr>
        <w:t>Sources</w:t>
      </w:r>
    </w:p>
    <w:p w14:paraId="3AD6635C" w14:textId="77777777" w:rsidR="00E144FC" w:rsidRPr="00E144FC" w:rsidRDefault="00E144FC" w:rsidP="00E144FC"/>
    <w:p w14:paraId="14399544" w14:textId="320ABEC6" w:rsidR="008805AF" w:rsidRDefault="001E3166" w:rsidP="008805AF">
      <w:r>
        <w:t>To estimate the annual intensity factors, we used data from the 2017</w:t>
      </w:r>
      <w:r w:rsidR="0018300C">
        <w:t>-2018</w:t>
      </w:r>
      <w:r w:rsidR="00111E80">
        <w:t xml:space="preserve"> </w:t>
      </w:r>
      <w:r w:rsidR="00D97DDA">
        <w:t xml:space="preserve">CPUC </w:t>
      </w:r>
      <w:r>
        <w:t>Reference System Plan</w:t>
      </w:r>
      <w:r w:rsidR="00D97DDA">
        <w:t xml:space="preserve"> as adopted </w:t>
      </w:r>
      <w:r w:rsidR="0081590E">
        <w:t>in R.16-02-007</w:t>
      </w:r>
      <w:r>
        <w:t>.</w:t>
      </w:r>
      <w:r w:rsidR="00FB6C2B">
        <w:t xml:space="preserve"> Table 6 </w:t>
      </w:r>
      <w:r w:rsidR="008805AF">
        <w:t>includes the generation (GWh), retail load (GWh), and total emissions (CO</w:t>
      </w:r>
      <w:r w:rsidR="00AF6AA4" w:rsidRPr="00882AC1">
        <w:rPr>
          <w:vertAlign w:val="subscript"/>
        </w:rPr>
        <w:t>2</w:t>
      </w:r>
      <w:r w:rsidR="008805AF">
        <w:t xml:space="preserve">e).  The adopted plan achieves a </w:t>
      </w:r>
      <w:r w:rsidR="000861C9">
        <w:t>statewide electricity sector emission</w:t>
      </w:r>
      <w:r w:rsidR="008805AF">
        <w:t xml:space="preserve"> of 42MMt of </w:t>
      </w:r>
      <w:r w:rsidR="00BF6440">
        <w:t>CO</w:t>
      </w:r>
      <w:r w:rsidR="00BF6440" w:rsidRPr="00882AC1">
        <w:rPr>
          <w:vertAlign w:val="subscript"/>
        </w:rPr>
        <w:t>2</w:t>
      </w:r>
      <w:r w:rsidR="00BF6440">
        <w:rPr>
          <w:vertAlign w:val="subscript"/>
        </w:rPr>
        <w:t xml:space="preserve"> </w:t>
      </w:r>
      <w:r w:rsidR="00BF6440">
        <w:t>emissions</w:t>
      </w:r>
      <w:r w:rsidR="008805AF">
        <w:t xml:space="preserve"> by 2030, and 34</w:t>
      </w:r>
      <w:r w:rsidR="00C746FA" w:rsidRPr="762667E3">
        <w:t xml:space="preserve"> </w:t>
      </w:r>
      <w:proofErr w:type="spellStart"/>
      <w:r w:rsidR="008805AF">
        <w:t>MMt</w:t>
      </w:r>
      <w:proofErr w:type="spellEnd"/>
      <w:r w:rsidR="008805AF">
        <w:t xml:space="preserve"> for the CAISO control area.  This data is available from the CPUC website in the IRP proceeding using the RESOLVE results viewer for the Reference System Plan</w:t>
      </w:r>
      <w:r w:rsidR="00C746FA" w:rsidRPr="762667E3">
        <w:t>.</w:t>
      </w:r>
      <w:r w:rsidR="008805AF">
        <w:rPr>
          <w:rStyle w:val="FootnoteReference"/>
        </w:rPr>
        <w:footnoteReference w:id="33"/>
      </w:r>
    </w:p>
    <w:p w14:paraId="7F0DE75E" w14:textId="77777777" w:rsidR="00EB5E38" w:rsidRDefault="00EB5E38" w:rsidP="008805AF">
      <w:pPr>
        <w:pStyle w:val="Caption"/>
        <w:keepNext/>
        <w:keepLines/>
      </w:pPr>
      <w:bookmarkStart w:id="136" w:name="_Ref19024128"/>
    </w:p>
    <w:p w14:paraId="0020161E" w14:textId="5702AA32" w:rsidR="008805AF" w:rsidRDefault="008805AF" w:rsidP="008805AF">
      <w:pPr>
        <w:pStyle w:val="Caption"/>
        <w:keepNext/>
        <w:keepLines/>
      </w:pPr>
      <w:r>
        <w:t xml:space="preserve">Table </w:t>
      </w:r>
      <w:r w:rsidR="00A621D6">
        <w:rPr>
          <w:noProof/>
        </w:rPr>
        <w:fldChar w:fldCharType="begin"/>
      </w:r>
      <w:r w:rsidR="00A621D6">
        <w:rPr>
          <w:noProof/>
        </w:rPr>
        <w:instrText xml:space="preserve"> SEQ Table \* ARABIC </w:instrText>
      </w:r>
      <w:r w:rsidR="00A621D6">
        <w:rPr>
          <w:noProof/>
        </w:rPr>
        <w:fldChar w:fldCharType="separate"/>
      </w:r>
      <w:r w:rsidR="004929BA">
        <w:rPr>
          <w:noProof/>
        </w:rPr>
        <w:t>6</w:t>
      </w:r>
      <w:r w:rsidR="00A621D6">
        <w:rPr>
          <w:noProof/>
        </w:rPr>
        <w:fldChar w:fldCharType="end"/>
      </w:r>
      <w:bookmarkEnd w:id="136"/>
      <w:r>
        <w:t>: Emissions and Load Results Data from Adopted 2017/2018 IRP Reference System Plan</w:t>
      </w:r>
    </w:p>
    <w:tbl>
      <w:tblPr>
        <w:tblW w:w="8820" w:type="dxa"/>
        <w:tblLook w:val="04A0" w:firstRow="1" w:lastRow="0" w:firstColumn="1" w:lastColumn="0" w:noHBand="0" w:noVBand="1"/>
      </w:tblPr>
      <w:tblGrid>
        <w:gridCol w:w="2250"/>
        <w:gridCol w:w="2070"/>
        <w:gridCol w:w="1170"/>
        <w:gridCol w:w="1170"/>
        <w:gridCol w:w="1080"/>
        <w:gridCol w:w="1080"/>
      </w:tblGrid>
      <w:tr w:rsidR="008805AF" w14:paraId="6FA1FBA5" w14:textId="77777777" w:rsidTr="008805AF">
        <w:trPr>
          <w:trHeight w:val="300"/>
        </w:trPr>
        <w:tc>
          <w:tcPr>
            <w:tcW w:w="2250" w:type="dxa"/>
            <w:noWrap/>
            <w:vAlign w:val="bottom"/>
          </w:tcPr>
          <w:p w14:paraId="69FD2A27" w14:textId="77777777" w:rsidR="008805AF" w:rsidRDefault="008805AF">
            <w:pPr>
              <w:keepNext/>
              <w:keepLines/>
              <w:rPr>
                <w:rFonts w:ascii="Calibri" w:eastAsia="Times New Roman" w:hAnsi="Calibri" w:cs="Calibri"/>
                <w:b/>
                <w:bCs/>
                <w:color w:val="000000"/>
              </w:rPr>
            </w:pPr>
          </w:p>
        </w:tc>
        <w:tc>
          <w:tcPr>
            <w:tcW w:w="2070" w:type="dxa"/>
            <w:noWrap/>
            <w:vAlign w:val="bottom"/>
          </w:tcPr>
          <w:p w14:paraId="30470F49" w14:textId="77777777" w:rsidR="008805AF" w:rsidRDefault="008805AF">
            <w:pPr>
              <w:keepNext/>
              <w:keepLines/>
              <w:rPr>
                <w:rFonts w:ascii="Calibri" w:eastAsia="Times New Roman" w:hAnsi="Calibri" w:cs="Calibri"/>
                <w:b/>
                <w:bCs/>
                <w:color w:val="000000"/>
              </w:rPr>
            </w:pPr>
          </w:p>
        </w:tc>
        <w:tc>
          <w:tcPr>
            <w:tcW w:w="1170" w:type="dxa"/>
            <w:noWrap/>
            <w:vAlign w:val="bottom"/>
            <w:hideMark/>
          </w:tcPr>
          <w:p w14:paraId="312221B6" w14:textId="77777777" w:rsidR="008805AF" w:rsidRDefault="008805AF">
            <w:pPr>
              <w:keepNext/>
              <w:keepLines/>
              <w:jc w:val="right"/>
              <w:rPr>
                <w:rFonts w:ascii="Calibri" w:eastAsia="Times New Roman" w:hAnsi="Calibri" w:cs="Calibri"/>
                <w:color w:val="000000"/>
              </w:rPr>
            </w:pPr>
            <w:r>
              <w:rPr>
                <w:rFonts w:ascii="Calibri" w:eastAsia="Times New Roman" w:hAnsi="Calibri" w:cs="Calibri"/>
                <w:color w:val="000000"/>
              </w:rPr>
              <w:t>2018</w:t>
            </w:r>
          </w:p>
        </w:tc>
        <w:tc>
          <w:tcPr>
            <w:tcW w:w="1170" w:type="dxa"/>
            <w:noWrap/>
            <w:vAlign w:val="bottom"/>
            <w:hideMark/>
          </w:tcPr>
          <w:p w14:paraId="057413D2" w14:textId="77777777" w:rsidR="008805AF" w:rsidRDefault="008805AF">
            <w:pPr>
              <w:keepNext/>
              <w:keepLines/>
              <w:jc w:val="right"/>
              <w:rPr>
                <w:rFonts w:ascii="Calibri" w:eastAsia="Times New Roman" w:hAnsi="Calibri" w:cs="Calibri"/>
                <w:color w:val="000000"/>
              </w:rPr>
            </w:pPr>
            <w:r>
              <w:rPr>
                <w:rFonts w:ascii="Calibri" w:eastAsia="Times New Roman" w:hAnsi="Calibri" w:cs="Calibri"/>
                <w:color w:val="000000"/>
              </w:rPr>
              <w:t>2022</w:t>
            </w:r>
          </w:p>
        </w:tc>
        <w:tc>
          <w:tcPr>
            <w:tcW w:w="1080" w:type="dxa"/>
            <w:noWrap/>
            <w:vAlign w:val="bottom"/>
            <w:hideMark/>
          </w:tcPr>
          <w:p w14:paraId="51290474" w14:textId="77777777" w:rsidR="008805AF" w:rsidRDefault="008805AF">
            <w:pPr>
              <w:keepNext/>
              <w:keepLines/>
              <w:jc w:val="right"/>
              <w:rPr>
                <w:rFonts w:ascii="Calibri" w:eastAsia="Times New Roman" w:hAnsi="Calibri" w:cs="Calibri"/>
                <w:color w:val="000000"/>
              </w:rPr>
            </w:pPr>
            <w:r>
              <w:rPr>
                <w:rFonts w:ascii="Calibri" w:eastAsia="Times New Roman" w:hAnsi="Calibri" w:cs="Calibri"/>
                <w:color w:val="000000"/>
              </w:rPr>
              <w:t>2026</w:t>
            </w:r>
          </w:p>
        </w:tc>
        <w:tc>
          <w:tcPr>
            <w:tcW w:w="1080" w:type="dxa"/>
            <w:noWrap/>
            <w:vAlign w:val="bottom"/>
            <w:hideMark/>
          </w:tcPr>
          <w:p w14:paraId="2D9CB394" w14:textId="77777777" w:rsidR="008805AF" w:rsidRDefault="008805AF">
            <w:pPr>
              <w:keepNext/>
              <w:keepLines/>
              <w:jc w:val="right"/>
              <w:rPr>
                <w:rFonts w:ascii="Calibri" w:eastAsia="Times New Roman" w:hAnsi="Calibri" w:cs="Calibri"/>
                <w:color w:val="000000"/>
              </w:rPr>
            </w:pPr>
            <w:r>
              <w:rPr>
                <w:rFonts w:ascii="Calibri" w:eastAsia="Times New Roman" w:hAnsi="Calibri" w:cs="Calibri"/>
                <w:color w:val="000000"/>
              </w:rPr>
              <w:t>2030</w:t>
            </w:r>
          </w:p>
        </w:tc>
      </w:tr>
      <w:tr w:rsidR="008805AF" w14:paraId="3F25A97C" w14:textId="77777777" w:rsidTr="008805AF">
        <w:trPr>
          <w:trHeight w:val="300"/>
        </w:trPr>
        <w:tc>
          <w:tcPr>
            <w:tcW w:w="2250" w:type="dxa"/>
            <w:tcBorders>
              <w:top w:val="single" w:sz="4" w:space="0" w:color="auto"/>
              <w:left w:val="single" w:sz="4" w:space="0" w:color="auto"/>
              <w:bottom w:val="single" w:sz="4" w:space="0" w:color="auto"/>
              <w:right w:val="nil"/>
            </w:tcBorders>
            <w:noWrap/>
            <w:vAlign w:val="bottom"/>
            <w:hideMark/>
          </w:tcPr>
          <w:p w14:paraId="343FE2B3" w14:textId="77777777" w:rsidR="008805AF" w:rsidRDefault="008805AF">
            <w:pPr>
              <w:keepNext/>
              <w:keepLines/>
              <w:rPr>
                <w:rFonts w:ascii="Calibri" w:eastAsia="Times New Roman" w:hAnsi="Calibri" w:cs="Calibri"/>
                <w:color w:val="000000"/>
                <w:sz w:val="20"/>
                <w:szCs w:val="20"/>
              </w:rPr>
            </w:pPr>
            <w:r>
              <w:rPr>
                <w:rFonts w:ascii="Calibri" w:eastAsia="Times New Roman" w:hAnsi="Calibri" w:cs="Calibri"/>
                <w:color w:val="000000"/>
                <w:sz w:val="20"/>
                <w:szCs w:val="20"/>
              </w:rPr>
              <w:t>Load</w:t>
            </w:r>
          </w:p>
        </w:tc>
        <w:tc>
          <w:tcPr>
            <w:tcW w:w="2070" w:type="dxa"/>
            <w:tcBorders>
              <w:top w:val="single" w:sz="4" w:space="0" w:color="auto"/>
              <w:left w:val="nil"/>
              <w:bottom w:val="single" w:sz="4" w:space="0" w:color="auto"/>
              <w:right w:val="single" w:sz="4" w:space="0" w:color="auto"/>
            </w:tcBorders>
            <w:noWrap/>
            <w:vAlign w:val="bottom"/>
            <w:hideMark/>
          </w:tcPr>
          <w:p w14:paraId="11E8CD50" w14:textId="77777777" w:rsidR="008805AF" w:rsidRDefault="008805AF">
            <w:pPr>
              <w:keepNext/>
              <w:keepLines/>
              <w:jc w:val="right"/>
              <w:rPr>
                <w:rFonts w:ascii="Calibri" w:eastAsia="Times New Roman" w:hAnsi="Calibri" w:cs="Calibri"/>
                <w:i/>
                <w:iCs/>
                <w:color w:val="757171"/>
                <w:sz w:val="20"/>
                <w:szCs w:val="20"/>
              </w:rPr>
            </w:pPr>
            <w:r w:rsidRPr="00C746FA">
              <w:rPr>
                <w:rFonts w:ascii="Calibri" w:eastAsia="Times New Roman" w:hAnsi="Calibri" w:cs="Calibri"/>
                <w:i/>
                <w:iCs/>
                <w:color w:val="948A54" w:themeColor="background2" w:themeShade="80"/>
                <w:sz w:val="20"/>
                <w:szCs w:val="20"/>
              </w:rPr>
              <w:t>GWh</w:t>
            </w:r>
          </w:p>
        </w:tc>
        <w:tc>
          <w:tcPr>
            <w:tcW w:w="1170" w:type="dxa"/>
            <w:tcBorders>
              <w:top w:val="single" w:sz="4" w:space="0" w:color="auto"/>
              <w:left w:val="nil"/>
              <w:bottom w:val="single" w:sz="4" w:space="0" w:color="auto"/>
              <w:right w:val="nil"/>
            </w:tcBorders>
            <w:shd w:val="clear" w:color="auto" w:fill="D9D9D9"/>
            <w:noWrap/>
            <w:vAlign w:val="bottom"/>
            <w:hideMark/>
          </w:tcPr>
          <w:p w14:paraId="2B193933" w14:textId="77777777" w:rsidR="008805AF" w:rsidRDefault="008805AF">
            <w:pPr>
              <w:keepNext/>
              <w:keepLines/>
              <w:rPr>
                <w:rFonts w:ascii="Calibri" w:eastAsia="Times New Roman" w:hAnsi="Calibri" w:cs="Calibri"/>
                <w:color w:val="000000"/>
                <w:sz w:val="20"/>
                <w:szCs w:val="20"/>
              </w:rPr>
            </w:pPr>
            <w:r>
              <w:rPr>
                <w:rFonts w:ascii="Calibri" w:eastAsia="Times New Roman" w:hAnsi="Calibri" w:cs="Calibri"/>
                <w:color w:val="000000"/>
                <w:sz w:val="20"/>
                <w:szCs w:val="20"/>
              </w:rPr>
              <w:t xml:space="preserve">    239,107 </w:t>
            </w:r>
          </w:p>
        </w:tc>
        <w:tc>
          <w:tcPr>
            <w:tcW w:w="1170" w:type="dxa"/>
            <w:tcBorders>
              <w:top w:val="single" w:sz="4" w:space="0" w:color="auto"/>
              <w:left w:val="nil"/>
              <w:bottom w:val="single" w:sz="4" w:space="0" w:color="auto"/>
              <w:right w:val="nil"/>
            </w:tcBorders>
            <w:shd w:val="clear" w:color="auto" w:fill="D9D9D9"/>
            <w:noWrap/>
            <w:vAlign w:val="bottom"/>
            <w:hideMark/>
          </w:tcPr>
          <w:p w14:paraId="01B429C8" w14:textId="77777777" w:rsidR="008805AF" w:rsidRDefault="008805AF">
            <w:pPr>
              <w:keepNext/>
              <w:keepLines/>
              <w:rPr>
                <w:rFonts w:ascii="Calibri" w:eastAsia="Times New Roman" w:hAnsi="Calibri" w:cs="Calibri"/>
                <w:color w:val="000000"/>
                <w:sz w:val="20"/>
                <w:szCs w:val="20"/>
              </w:rPr>
            </w:pPr>
            <w:r>
              <w:rPr>
                <w:rFonts w:ascii="Calibri" w:eastAsia="Times New Roman" w:hAnsi="Calibri" w:cs="Calibri"/>
                <w:color w:val="000000"/>
                <w:sz w:val="20"/>
                <w:szCs w:val="20"/>
              </w:rPr>
              <w:t xml:space="preserve">   245,583 </w:t>
            </w:r>
          </w:p>
        </w:tc>
        <w:tc>
          <w:tcPr>
            <w:tcW w:w="1080" w:type="dxa"/>
            <w:tcBorders>
              <w:top w:val="single" w:sz="4" w:space="0" w:color="auto"/>
              <w:left w:val="nil"/>
              <w:bottom w:val="single" w:sz="4" w:space="0" w:color="auto"/>
              <w:right w:val="nil"/>
            </w:tcBorders>
            <w:shd w:val="clear" w:color="auto" w:fill="D9D9D9"/>
            <w:noWrap/>
            <w:vAlign w:val="bottom"/>
            <w:hideMark/>
          </w:tcPr>
          <w:p w14:paraId="77B37F5F" w14:textId="77777777" w:rsidR="008805AF" w:rsidRDefault="008805AF">
            <w:pPr>
              <w:keepNext/>
              <w:keepLines/>
              <w:rPr>
                <w:rFonts w:ascii="Calibri" w:eastAsia="Times New Roman" w:hAnsi="Calibri" w:cs="Calibri"/>
                <w:color w:val="000000"/>
                <w:sz w:val="20"/>
                <w:szCs w:val="20"/>
              </w:rPr>
            </w:pPr>
            <w:r>
              <w:rPr>
                <w:rFonts w:ascii="Calibri" w:eastAsia="Times New Roman" w:hAnsi="Calibri" w:cs="Calibri"/>
                <w:color w:val="000000"/>
                <w:sz w:val="20"/>
                <w:szCs w:val="20"/>
              </w:rPr>
              <w:t xml:space="preserve">   251,286 </w:t>
            </w:r>
          </w:p>
        </w:tc>
        <w:tc>
          <w:tcPr>
            <w:tcW w:w="1080" w:type="dxa"/>
            <w:tcBorders>
              <w:top w:val="single" w:sz="4" w:space="0" w:color="auto"/>
              <w:left w:val="nil"/>
              <w:bottom w:val="single" w:sz="4" w:space="0" w:color="auto"/>
              <w:right w:val="single" w:sz="4" w:space="0" w:color="auto"/>
            </w:tcBorders>
            <w:shd w:val="clear" w:color="auto" w:fill="D9D9D9"/>
            <w:noWrap/>
            <w:vAlign w:val="bottom"/>
            <w:hideMark/>
          </w:tcPr>
          <w:p w14:paraId="3C2A55AD" w14:textId="77777777" w:rsidR="008805AF" w:rsidRDefault="008805AF">
            <w:pPr>
              <w:keepNext/>
              <w:keepLines/>
              <w:rPr>
                <w:rFonts w:ascii="Calibri" w:eastAsia="Times New Roman" w:hAnsi="Calibri" w:cs="Calibri"/>
                <w:color w:val="000000"/>
                <w:sz w:val="20"/>
                <w:szCs w:val="20"/>
              </w:rPr>
            </w:pPr>
            <w:r>
              <w:rPr>
                <w:rFonts w:ascii="Calibri" w:eastAsia="Times New Roman" w:hAnsi="Calibri" w:cs="Calibri"/>
                <w:color w:val="000000"/>
                <w:sz w:val="20"/>
                <w:szCs w:val="20"/>
              </w:rPr>
              <w:t xml:space="preserve">   255,038 </w:t>
            </w:r>
          </w:p>
        </w:tc>
      </w:tr>
      <w:tr w:rsidR="008805AF" w14:paraId="383E7513" w14:textId="77777777" w:rsidTr="008805AF">
        <w:trPr>
          <w:trHeight w:val="300"/>
        </w:trPr>
        <w:tc>
          <w:tcPr>
            <w:tcW w:w="2250" w:type="dxa"/>
            <w:tcBorders>
              <w:top w:val="nil"/>
              <w:left w:val="single" w:sz="4" w:space="0" w:color="auto"/>
              <w:bottom w:val="nil"/>
              <w:right w:val="nil"/>
            </w:tcBorders>
            <w:noWrap/>
            <w:vAlign w:val="bottom"/>
            <w:hideMark/>
          </w:tcPr>
          <w:p w14:paraId="22E3D982" w14:textId="77777777" w:rsidR="008805AF" w:rsidRDefault="008805AF">
            <w:pPr>
              <w:keepNext/>
              <w:keepLines/>
              <w:rPr>
                <w:rFonts w:ascii="Calibri" w:eastAsia="Times New Roman" w:hAnsi="Calibri" w:cs="Calibri"/>
                <w:color w:val="000000"/>
                <w:sz w:val="20"/>
                <w:szCs w:val="20"/>
              </w:rPr>
            </w:pPr>
            <w:r>
              <w:rPr>
                <w:rFonts w:ascii="Calibri" w:eastAsia="Times New Roman" w:hAnsi="Calibri" w:cs="Calibri"/>
                <w:color w:val="000000"/>
                <w:sz w:val="20"/>
                <w:szCs w:val="20"/>
              </w:rPr>
              <w:t>Total Retail Sales</w:t>
            </w:r>
          </w:p>
        </w:tc>
        <w:tc>
          <w:tcPr>
            <w:tcW w:w="2070" w:type="dxa"/>
            <w:tcBorders>
              <w:top w:val="nil"/>
              <w:left w:val="nil"/>
              <w:bottom w:val="nil"/>
              <w:right w:val="single" w:sz="4" w:space="0" w:color="auto"/>
            </w:tcBorders>
            <w:noWrap/>
            <w:vAlign w:val="bottom"/>
            <w:hideMark/>
          </w:tcPr>
          <w:p w14:paraId="1A1C1371" w14:textId="77777777" w:rsidR="008805AF" w:rsidRDefault="008805AF">
            <w:pPr>
              <w:keepNext/>
              <w:keepLines/>
              <w:jc w:val="right"/>
              <w:rPr>
                <w:rFonts w:ascii="Calibri" w:eastAsia="Times New Roman" w:hAnsi="Calibri" w:cs="Calibri"/>
                <w:i/>
                <w:iCs/>
                <w:color w:val="948A54"/>
                <w:sz w:val="20"/>
                <w:szCs w:val="20"/>
              </w:rPr>
            </w:pPr>
            <w:r>
              <w:rPr>
                <w:rFonts w:ascii="Calibri" w:eastAsia="Times New Roman" w:hAnsi="Calibri" w:cs="Calibri"/>
                <w:i/>
                <w:iCs/>
                <w:color w:val="948A54"/>
                <w:sz w:val="20"/>
                <w:szCs w:val="20"/>
              </w:rPr>
              <w:t>GWh</w:t>
            </w:r>
          </w:p>
        </w:tc>
        <w:tc>
          <w:tcPr>
            <w:tcW w:w="1170" w:type="dxa"/>
            <w:shd w:val="clear" w:color="auto" w:fill="D9D9D9"/>
            <w:noWrap/>
            <w:vAlign w:val="bottom"/>
            <w:hideMark/>
          </w:tcPr>
          <w:p w14:paraId="422286E7" w14:textId="77777777" w:rsidR="008805AF" w:rsidRDefault="008805AF">
            <w:pPr>
              <w:keepNext/>
              <w:keepLines/>
              <w:rPr>
                <w:rFonts w:ascii="Calibri" w:eastAsia="Times New Roman" w:hAnsi="Calibri" w:cs="Calibri"/>
                <w:color w:val="000000"/>
                <w:sz w:val="20"/>
                <w:szCs w:val="20"/>
              </w:rPr>
            </w:pPr>
            <w:r>
              <w:rPr>
                <w:rFonts w:ascii="Calibri" w:eastAsia="Times New Roman" w:hAnsi="Calibri" w:cs="Calibri"/>
                <w:color w:val="000000"/>
                <w:sz w:val="20"/>
                <w:szCs w:val="20"/>
              </w:rPr>
              <w:t xml:space="preserve">    209,331 </w:t>
            </w:r>
          </w:p>
        </w:tc>
        <w:tc>
          <w:tcPr>
            <w:tcW w:w="1170" w:type="dxa"/>
            <w:shd w:val="clear" w:color="auto" w:fill="D9D9D9"/>
            <w:noWrap/>
            <w:vAlign w:val="bottom"/>
            <w:hideMark/>
          </w:tcPr>
          <w:p w14:paraId="419E363E" w14:textId="77777777" w:rsidR="008805AF" w:rsidRDefault="008805AF">
            <w:pPr>
              <w:keepNext/>
              <w:keepLines/>
              <w:rPr>
                <w:rFonts w:ascii="Calibri" w:eastAsia="Times New Roman" w:hAnsi="Calibri" w:cs="Calibri"/>
                <w:color w:val="000000"/>
                <w:sz w:val="20"/>
                <w:szCs w:val="20"/>
              </w:rPr>
            </w:pPr>
            <w:r>
              <w:rPr>
                <w:rFonts w:ascii="Calibri" w:eastAsia="Times New Roman" w:hAnsi="Calibri" w:cs="Calibri"/>
                <w:color w:val="000000"/>
                <w:sz w:val="20"/>
                <w:szCs w:val="20"/>
              </w:rPr>
              <w:t xml:space="preserve">   207,692 </w:t>
            </w:r>
          </w:p>
        </w:tc>
        <w:tc>
          <w:tcPr>
            <w:tcW w:w="1080" w:type="dxa"/>
            <w:shd w:val="clear" w:color="auto" w:fill="D9D9D9"/>
            <w:noWrap/>
            <w:vAlign w:val="bottom"/>
            <w:hideMark/>
          </w:tcPr>
          <w:p w14:paraId="6D93B8B2" w14:textId="77777777" w:rsidR="008805AF" w:rsidRDefault="008805AF">
            <w:pPr>
              <w:keepNext/>
              <w:keepLines/>
              <w:rPr>
                <w:rFonts w:ascii="Calibri" w:eastAsia="Times New Roman" w:hAnsi="Calibri" w:cs="Calibri"/>
                <w:color w:val="000000"/>
                <w:sz w:val="20"/>
                <w:szCs w:val="20"/>
              </w:rPr>
            </w:pPr>
            <w:r>
              <w:rPr>
                <w:rFonts w:ascii="Calibri" w:eastAsia="Times New Roman" w:hAnsi="Calibri" w:cs="Calibri"/>
                <w:color w:val="000000"/>
                <w:sz w:val="20"/>
                <w:szCs w:val="20"/>
              </w:rPr>
              <w:t xml:space="preserve">   205,654 </w:t>
            </w:r>
          </w:p>
        </w:tc>
        <w:tc>
          <w:tcPr>
            <w:tcW w:w="1080" w:type="dxa"/>
            <w:tcBorders>
              <w:top w:val="nil"/>
              <w:left w:val="nil"/>
              <w:bottom w:val="nil"/>
              <w:right w:val="single" w:sz="4" w:space="0" w:color="auto"/>
            </w:tcBorders>
            <w:shd w:val="clear" w:color="auto" w:fill="D9D9D9"/>
            <w:noWrap/>
            <w:vAlign w:val="bottom"/>
            <w:hideMark/>
          </w:tcPr>
          <w:p w14:paraId="57216C24" w14:textId="77777777" w:rsidR="008805AF" w:rsidRDefault="008805AF">
            <w:pPr>
              <w:keepNext/>
              <w:keepLines/>
              <w:rPr>
                <w:rFonts w:ascii="Calibri" w:eastAsia="Times New Roman" w:hAnsi="Calibri" w:cs="Calibri"/>
                <w:color w:val="000000"/>
                <w:sz w:val="20"/>
                <w:szCs w:val="20"/>
              </w:rPr>
            </w:pPr>
            <w:r>
              <w:rPr>
                <w:rFonts w:ascii="Calibri" w:eastAsia="Times New Roman" w:hAnsi="Calibri" w:cs="Calibri"/>
                <w:color w:val="000000"/>
                <w:sz w:val="20"/>
                <w:szCs w:val="20"/>
              </w:rPr>
              <w:t xml:space="preserve">   202,710 </w:t>
            </w:r>
          </w:p>
        </w:tc>
      </w:tr>
      <w:tr w:rsidR="008805AF" w14:paraId="78B817C1" w14:textId="77777777" w:rsidTr="008805AF">
        <w:trPr>
          <w:trHeight w:val="300"/>
        </w:trPr>
        <w:tc>
          <w:tcPr>
            <w:tcW w:w="2250" w:type="dxa"/>
            <w:tcBorders>
              <w:top w:val="single" w:sz="4" w:space="0" w:color="auto"/>
              <w:left w:val="single" w:sz="4" w:space="0" w:color="auto"/>
              <w:bottom w:val="single" w:sz="4" w:space="0" w:color="auto"/>
              <w:right w:val="nil"/>
            </w:tcBorders>
            <w:noWrap/>
            <w:vAlign w:val="bottom"/>
            <w:hideMark/>
          </w:tcPr>
          <w:p w14:paraId="4F1E2521" w14:textId="77777777" w:rsidR="008805AF" w:rsidRDefault="008805AF">
            <w:pPr>
              <w:keepNext/>
              <w:keepLines/>
              <w:rPr>
                <w:rFonts w:ascii="Calibri" w:eastAsia="Times New Roman" w:hAnsi="Calibri" w:cs="Calibri"/>
                <w:color w:val="000000"/>
                <w:sz w:val="20"/>
                <w:szCs w:val="20"/>
              </w:rPr>
            </w:pPr>
            <w:r>
              <w:rPr>
                <w:rFonts w:ascii="Calibri" w:eastAsia="Times New Roman" w:hAnsi="Calibri" w:cs="Calibri"/>
                <w:color w:val="000000"/>
                <w:sz w:val="20"/>
                <w:szCs w:val="20"/>
              </w:rPr>
              <w:t>Total CAISO Emissions</w:t>
            </w:r>
          </w:p>
        </w:tc>
        <w:tc>
          <w:tcPr>
            <w:tcW w:w="2070" w:type="dxa"/>
            <w:tcBorders>
              <w:top w:val="single" w:sz="4" w:space="0" w:color="auto"/>
              <w:left w:val="nil"/>
              <w:bottom w:val="single" w:sz="4" w:space="0" w:color="auto"/>
              <w:right w:val="single" w:sz="4" w:space="0" w:color="auto"/>
            </w:tcBorders>
            <w:noWrap/>
            <w:vAlign w:val="bottom"/>
            <w:hideMark/>
          </w:tcPr>
          <w:p w14:paraId="52834AEA" w14:textId="77777777" w:rsidR="008805AF" w:rsidRDefault="008805AF">
            <w:pPr>
              <w:keepNext/>
              <w:keepLines/>
              <w:jc w:val="right"/>
              <w:rPr>
                <w:rFonts w:ascii="Calibri" w:eastAsia="Times New Roman" w:hAnsi="Calibri" w:cs="Calibri"/>
                <w:i/>
                <w:iCs/>
                <w:color w:val="948A54"/>
                <w:sz w:val="20"/>
                <w:szCs w:val="20"/>
              </w:rPr>
            </w:pPr>
            <w:r>
              <w:rPr>
                <w:rFonts w:ascii="Calibri" w:eastAsia="Times New Roman" w:hAnsi="Calibri" w:cs="Calibri"/>
                <w:i/>
                <w:iCs/>
                <w:color w:val="948A54"/>
                <w:sz w:val="20"/>
                <w:szCs w:val="20"/>
              </w:rPr>
              <w:t>MMtCO2e</w:t>
            </w:r>
          </w:p>
        </w:tc>
        <w:tc>
          <w:tcPr>
            <w:tcW w:w="1170" w:type="dxa"/>
            <w:tcBorders>
              <w:top w:val="single" w:sz="4" w:space="0" w:color="auto"/>
              <w:left w:val="nil"/>
              <w:bottom w:val="single" w:sz="4" w:space="0" w:color="auto"/>
              <w:right w:val="nil"/>
            </w:tcBorders>
            <w:shd w:val="clear" w:color="auto" w:fill="D9D9D9"/>
            <w:noWrap/>
            <w:vAlign w:val="bottom"/>
            <w:hideMark/>
          </w:tcPr>
          <w:p w14:paraId="11DDCA61" w14:textId="77777777" w:rsidR="008805AF" w:rsidRDefault="008805AF">
            <w:pPr>
              <w:keepNext/>
              <w:keepLines/>
              <w:rPr>
                <w:rFonts w:ascii="Calibri" w:eastAsia="Times New Roman" w:hAnsi="Calibri" w:cs="Calibri"/>
                <w:color w:val="000000"/>
                <w:sz w:val="20"/>
                <w:szCs w:val="20"/>
              </w:rPr>
            </w:pPr>
            <w:r>
              <w:rPr>
                <w:rFonts w:ascii="Calibri" w:eastAsia="Times New Roman" w:hAnsi="Calibri" w:cs="Calibri"/>
                <w:color w:val="000000"/>
                <w:sz w:val="20"/>
                <w:szCs w:val="20"/>
              </w:rPr>
              <w:t xml:space="preserve">           42.3 </w:t>
            </w:r>
          </w:p>
        </w:tc>
        <w:tc>
          <w:tcPr>
            <w:tcW w:w="1170" w:type="dxa"/>
            <w:tcBorders>
              <w:top w:val="single" w:sz="4" w:space="0" w:color="auto"/>
              <w:left w:val="nil"/>
              <w:bottom w:val="single" w:sz="4" w:space="0" w:color="auto"/>
              <w:right w:val="nil"/>
            </w:tcBorders>
            <w:shd w:val="clear" w:color="auto" w:fill="D9D9D9"/>
            <w:noWrap/>
            <w:vAlign w:val="bottom"/>
            <w:hideMark/>
          </w:tcPr>
          <w:p w14:paraId="04A996C7" w14:textId="77777777" w:rsidR="008805AF" w:rsidRDefault="008805AF">
            <w:pPr>
              <w:keepNext/>
              <w:keepLines/>
              <w:rPr>
                <w:rFonts w:ascii="Calibri" w:eastAsia="Times New Roman" w:hAnsi="Calibri" w:cs="Calibri"/>
                <w:color w:val="000000"/>
                <w:sz w:val="20"/>
                <w:szCs w:val="20"/>
              </w:rPr>
            </w:pPr>
            <w:r>
              <w:rPr>
                <w:rFonts w:ascii="Calibri" w:eastAsia="Times New Roman" w:hAnsi="Calibri" w:cs="Calibri"/>
                <w:color w:val="000000"/>
                <w:sz w:val="20"/>
                <w:szCs w:val="20"/>
              </w:rPr>
              <w:t xml:space="preserve">          36.1 </w:t>
            </w:r>
          </w:p>
        </w:tc>
        <w:tc>
          <w:tcPr>
            <w:tcW w:w="1080" w:type="dxa"/>
            <w:tcBorders>
              <w:top w:val="single" w:sz="4" w:space="0" w:color="auto"/>
              <w:left w:val="nil"/>
              <w:bottom w:val="single" w:sz="4" w:space="0" w:color="auto"/>
              <w:right w:val="nil"/>
            </w:tcBorders>
            <w:shd w:val="clear" w:color="auto" w:fill="D9D9D9"/>
            <w:noWrap/>
            <w:vAlign w:val="bottom"/>
            <w:hideMark/>
          </w:tcPr>
          <w:p w14:paraId="7909F1DC" w14:textId="77777777" w:rsidR="008805AF" w:rsidRDefault="008805AF">
            <w:pPr>
              <w:keepNext/>
              <w:keepLines/>
              <w:rPr>
                <w:rFonts w:ascii="Calibri" w:eastAsia="Times New Roman" w:hAnsi="Calibri" w:cs="Calibri"/>
                <w:color w:val="000000"/>
                <w:sz w:val="20"/>
                <w:szCs w:val="20"/>
              </w:rPr>
            </w:pPr>
            <w:r>
              <w:rPr>
                <w:rFonts w:ascii="Calibri" w:eastAsia="Times New Roman" w:hAnsi="Calibri" w:cs="Calibri"/>
                <w:color w:val="000000"/>
                <w:sz w:val="20"/>
                <w:szCs w:val="20"/>
              </w:rPr>
              <w:t xml:space="preserve">          41.3 </w:t>
            </w:r>
          </w:p>
        </w:tc>
        <w:tc>
          <w:tcPr>
            <w:tcW w:w="1080" w:type="dxa"/>
            <w:tcBorders>
              <w:top w:val="single" w:sz="4" w:space="0" w:color="auto"/>
              <w:left w:val="nil"/>
              <w:bottom w:val="single" w:sz="4" w:space="0" w:color="auto"/>
              <w:right w:val="single" w:sz="4" w:space="0" w:color="auto"/>
            </w:tcBorders>
            <w:shd w:val="clear" w:color="auto" w:fill="D9D9D9"/>
            <w:noWrap/>
            <w:vAlign w:val="bottom"/>
            <w:hideMark/>
          </w:tcPr>
          <w:p w14:paraId="0D906D27" w14:textId="77777777" w:rsidR="008805AF" w:rsidRDefault="008805AF">
            <w:pPr>
              <w:keepNext/>
              <w:keepLines/>
              <w:rPr>
                <w:rFonts w:ascii="Calibri" w:eastAsia="Times New Roman" w:hAnsi="Calibri" w:cs="Calibri"/>
                <w:color w:val="000000"/>
                <w:sz w:val="20"/>
                <w:szCs w:val="20"/>
              </w:rPr>
            </w:pPr>
            <w:r>
              <w:rPr>
                <w:rFonts w:ascii="Calibri" w:eastAsia="Times New Roman" w:hAnsi="Calibri" w:cs="Calibri"/>
                <w:color w:val="000000"/>
                <w:sz w:val="20"/>
                <w:szCs w:val="20"/>
              </w:rPr>
              <w:t xml:space="preserve">          34.0 </w:t>
            </w:r>
          </w:p>
        </w:tc>
      </w:tr>
    </w:tbl>
    <w:p w14:paraId="497435DB" w14:textId="77777777" w:rsidR="008805AF" w:rsidRDefault="008805AF" w:rsidP="008805AF">
      <w:pPr>
        <w:rPr>
          <w:rFonts w:asciiTheme="minorHAnsi" w:hAnsiTheme="minorHAnsi"/>
        </w:rPr>
      </w:pPr>
    </w:p>
    <w:p w14:paraId="0A42FE62" w14:textId="53E1D47E" w:rsidR="008805AF" w:rsidRDefault="008805AF" w:rsidP="008805AF">
      <w:r>
        <w:t xml:space="preserve">The adopted Reference System Plan provides retail sales and </w:t>
      </w:r>
      <w:r w:rsidR="00474EDC">
        <w:t>CO</w:t>
      </w:r>
      <w:r w:rsidR="00474EDC" w:rsidRPr="00882AC1">
        <w:rPr>
          <w:vertAlign w:val="subscript"/>
        </w:rPr>
        <w:t>2</w:t>
      </w:r>
      <w:r w:rsidR="00474EDC">
        <w:rPr>
          <w:vertAlign w:val="subscript"/>
        </w:rPr>
        <w:t xml:space="preserve"> </w:t>
      </w:r>
      <w:r>
        <w:t>emissions through 2030.  The 2017-2018 IRP cycle did some assessment of longer time horizons, but those were not adopted in the Reference System Plan.  Furthermore, the 2017-2018 was developed before California’s legislature adopted SB</w:t>
      </w:r>
      <w:r w:rsidR="00C746FA">
        <w:t xml:space="preserve"> </w:t>
      </w:r>
      <w:r>
        <w:t>100 with the goal of 100%</w:t>
      </w:r>
      <w:r w:rsidR="00111E80">
        <w:t xml:space="preserve"> retail sales from</w:t>
      </w:r>
      <w:r>
        <w:t xml:space="preserve"> zero carbon energy by 2045.  Therefore, to go beyond 2030 we use an assumption of the goals established by SB</w:t>
      </w:r>
      <w:r w:rsidR="00CA2129">
        <w:t xml:space="preserve"> </w:t>
      </w:r>
      <w:r>
        <w:t>100 for 2045</w:t>
      </w:r>
      <w:r w:rsidR="00CA2129">
        <w:t>,</w:t>
      </w:r>
      <w:r>
        <w:t xml:space="preserve"> and a simple linear progression between 2030 and 2045.  To the extent that future IRP cycles evaluate </w:t>
      </w:r>
      <w:r w:rsidR="00A265B6">
        <w:t>the years</w:t>
      </w:r>
      <w:r>
        <w:t xml:space="preserve"> beyond 2030 in a more detailed approach and adopt them into the Reference System Plan this extension may no longer be necessary.</w:t>
      </w:r>
    </w:p>
    <w:p w14:paraId="189B7B51" w14:textId="77777777" w:rsidR="00A265B6" w:rsidRDefault="00A265B6" w:rsidP="008805AF"/>
    <w:p w14:paraId="4725B7B0" w14:textId="06C903CD" w:rsidR="008805AF" w:rsidRDefault="008805AF" w:rsidP="008805AF">
      <w:r>
        <w:t>In order to estimate the emissions intensity in 2045</w:t>
      </w:r>
      <w:r w:rsidR="00EB5E38">
        <w:t>,</w:t>
      </w:r>
      <w:r>
        <w:t xml:space="preserve"> we assume that SB</w:t>
      </w:r>
      <w:r w:rsidR="00C746FA" w:rsidRPr="762667E3">
        <w:t xml:space="preserve"> </w:t>
      </w:r>
      <w:r>
        <w:t>100 is implemented and requires a minimum level of decarbonized generation equal to 100% of retail sales.  With this assumption, up to approximately 7.25% of electric generation could be from natural gas generation (</w:t>
      </w:r>
      <w:r w:rsidR="001E3931">
        <w:t xml:space="preserve">i.e., assuming </w:t>
      </w:r>
      <w:r w:rsidR="008046C5">
        <w:t xml:space="preserve">a 7.25% </w:t>
      </w:r>
      <w:r w:rsidR="001E3931">
        <w:t>loss factor</w:t>
      </w:r>
      <w:r w:rsidR="008046C5">
        <w:rPr>
          <w:rStyle w:val="FootnoteReference"/>
        </w:rPr>
        <w:footnoteReference w:id="34"/>
      </w:r>
      <w:r w:rsidR="00474EDC" w:rsidRPr="762667E3">
        <w:t>).</w:t>
      </w:r>
      <w:r w:rsidRPr="762667E3">
        <w:t xml:space="preserve">  </w:t>
      </w:r>
      <w:r w:rsidR="00772590">
        <w:t>We therefore</w:t>
      </w:r>
      <w:r>
        <w:t xml:space="preserve"> calculate the </w:t>
      </w:r>
      <w:r w:rsidR="00772590">
        <w:t xml:space="preserve">electricity </w:t>
      </w:r>
      <w:r>
        <w:t xml:space="preserve">sector </w:t>
      </w:r>
      <w:r>
        <w:lastRenderedPageBreak/>
        <w:t>emissions in 2045 using an assumption of the emissions intensity of a combined cycle gas turbine (</w:t>
      </w:r>
      <w:r w:rsidR="00EB5E38">
        <w:t>CCGT)</w:t>
      </w:r>
      <w:r>
        <w:t xml:space="preserve"> (</w:t>
      </w:r>
      <w:r w:rsidR="00772590">
        <w:t xml:space="preserve">a heat rate of </w:t>
      </w:r>
      <w:r>
        <w:t>7,000 Btu/kWh) and an assumed volume of fossil</w:t>
      </w:r>
      <w:r w:rsidRPr="762667E3">
        <w:t xml:space="preserve"> </w:t>
      </w:r>
      <w:r w:rsidR="00772590">
        <w:t>fuel</w:t>
      </w:r>
      <w:r>
        <w:t xml:space="preserve"> energy that could be used </w:t>
      </w:r>
      <w:r w:rsidR="00772590">
        <w:t xml:space="preserve">while </w:t>
      </w:r>
      <w:r>
        <w:t>still</w:t>
      </w:r>
      <w:r w:rsidRPr="762667E3">
        <w:t xml:space="preserve"> </w:t>
      </w:r>
      <w:r w:rsidR="00772590">
        <w:t>allowing the state to</w:t>
      </w:r>
      <w:r>
        <w:t xml:space="preserve"> meet the SB</w:t>
      </w:r>
      <w:r w:rsidR="00C746FA" w:rsidRPr="762667E3">
        <w:t xml:space="preserve"> </w:t>
      </w:r>
      <w:r>
        <w:t>100 target.  The remaining energy on the system is assumed to be zero emissions. The following table shows the input assumptions from the avoided cost calculator used estimate the emissions past 2030 through 2045.</w:t>
      </w:r>
    </w:p>
    <w:p w14:paraId="2B4DBE8B" w14:textId="04AEA4F8" w:rsidR="71D73B20" w:rsidRDefault="71D73B20" w:rsidP="71D73B20"/>
    <w:p w14:paraId="0D04BCB9" w14:textId="22138000" w:rsidR="008805AF" w:rsidRDefault="008805AF" w:rsidP="008805AF">
      <w:pPr>
        <w:pStyle w:val="Caption"/>
      </w:pPr>
      <w:r>
        <w:t xml:space="preserve">Table </w:t>
      </w:r>
      <w:r w:rsidR="00A621D6">
        <w:rPr>
          <w:noProof/>
        </w:rPr>
        <w:fldChar w:fldCharType="begin"/>
      </w:r>
      <w:r w:rsidR="00A621D6">
        <w:rPr>
          <w:noProof/>
        </w:rPr>
        <w:instrText xml:space="preserve"> SEQ Table \* ARABIC </w:instrText>
      </w:r>
      <w:r w:rsidR="00A621D6">
        <w:rPr>
          <w:noProof/>
        </w:rPr>
        <w:fldChar w:fldCharType="separate"/>
      </w:r>
      <w:r w:rsidR="004929BA">
        <w:rPr>
          <w:noProof/>
        </w:rPr>
        <w:t>7</w:t>
      </w:r>
      <w:r w:rsidR="00A621D6">
        <w:rPr>
          <w:noProof/>
        </w:rPr>
        <w:fldChar w:fldCharType="end"/>
      </w:r>
      <w:r>
        <w:t>: Input Assumptions from the Avoided Cost Calculator to Estimate 2045 Emissions (ACC_2019_v1b)</w:t>
      </w:r>
    </w:p>
    <w:tbl>
      <w:tblPr>
        <w:tblW w:w="7200" w:type="dxa"/>
        <w:tblLook w:val="04A0" w:firstRow="1" w:lastRow="0" w:firstColumn="1" w:lastColumn="0" w:noHBand="0" w:noVBand="1"/>
      </w:tblPr>
      <w:tblGrid>
        <w:gridCol w:w="3771"/>
        <w:gridCol w:w="2429"/>
        <w:gridCol w:w="1000"/>
      </w:tblGrid>
      <w:tr w:rsidR="008805AF" w14:paraId="08E1236E" w14:textId="77777777" w:rsidTr="008805AF">
        <w:trPr>
          <w:trHeight w:val="300"/>
        </w:trPr>
        <w:tc>
          <w:tcPr>
            <w:tcW w:w="3771" w:type="dxa"/>
            <w:noWrap/>
            <w:vAlign w:val="bottom"/>
            <w:hideMark/>
          </w:tcPr>
          <w:p w14:paraId="09C8BA43" w14:textId="77777777" w:rsidR="008805AF" w:rsidRDefault="008805AF">
            <w:pPr>
              <w:rPr>
                <w:rFonts w:ascii="Calibri" w:eastAsia="Times New Roman" w:hAnsi="Calibri" w:cs="Calibri"/>
                <w:color w:val="000000"/>
              </w:rPr>
            </w:pPr>
            <w:r>
              <w:rPr>
                <w:rFonts w:ascii="Calibri" w:eastAsia="Times New Roman" w:hAnsi="Calibri" w:cs="Calibri"/>
                <w:color w:val="000000"/>
              </w:rPr>
              <w:t>CCGT Heat Rate</w:t>
            </w:r>
          </w:p>
        </w:tc>
        <w:tc>
          <w:tcPr>
            <w:tcW w:w="2429" w:type="dxa"/>
            <w:noWrap/>
            <w:vAlign w:val="bottom"/>
            <w:hideMark/>
          </w:tcPr>
          <w:p w14:paraId="749E4087" w14:textId="77777777" w:rsidR="008805AF" w:rsidRDefault="008805AF">
            <w:pPr>
              <w:rPr>
                <w:rFonts w:ascii="Calibri" w:eastAsia="Times New Roman" w:hAnsi="Calibri" w:cs="Calibri"/>
                <w:color w:val="000000"/>
              </w:rPr>
            </w:pPr>
            <w:r>
              <w:rPr>
                <w:rFonts w:ascii="Calibri" w:eastAsia="Times New Roman" w:hAnsi="Calibri" w:cs="Calibri"/>
                <w:color w:val="000000"/>
              </w:rPr>
              <w:t>Btu/kWh</w:t>
            </w:r>
          </w:p>
        </w:tc>
        <w:tc>
          <w:tcPr>
            <w:tcW w:w="1000" w:type="dxa"/>
            <w:noWrap/>
            <w:vAlign w:val="bottom"/>
            <w:hideMark/>
          </w:tcPr>
          <w:p w14:paraId="761E70FA" w14:textId="77777777" w:rsidR="008805AF" w:rsidRDefault="008805AF">
            <w:pPr>
              <w:jc w:val="center"/>
              <w:rPr>
                <w:rFonts w:ascii="Calibri" w:eastAsia="Times New Roman" w:hAnsi="Calibri" w:cs="Calibri"/>
                <w:color w:val="000000"/>
              </w:rPr>
            </w:pPr>
            <w:r>
              <w:rPr>
                <w:rFonts w:ascii="Calibri" w:eastAsia="Times New Roman" w:hAnsi="Calibri" w:cs="Calibri"/>
                <w:color w:val="000000"/>
              </w:rPr>
              <w:t>7,000</w:t>
            </w:r>
          </w:p>
        </w:tc>
      </w:tr>
      <w:tr w:rsidR="008805AF" w14:paraId="2FBC8317" w14:textId="77777777" w:rsidTr="008805AF">
        <w:trPr>
          <w:trHeight w:val="300"/>
        </w:trPr>
        <w:tc>
          <w:tcPr>
            <w:tcW w:w="3771" w:type="dxa"/>
            <w:noWrap/>
            <w:vAlign w:val="bottom"/>
            <w:hideMark/>
          </w:tcPr>
          <w:p w14:paraId="4018E922" w14:textId="77777777" w:rsidR="008805AF" w:rsidRDefault="008805AF">
            <w:pPr>
              <w:rPr>
                <w:rFonts w:ascii="Calibri" w:eastAsia="Times New Roman" w:hAnsi="Calibri" w:cs="Calibri"/>
                <w:color w:val="000000"/>
              </w:rPr>
            </w:pPr>
            <w:r>
              <w:rPr>
                <w:rFonts w:ascii="Calibri" w:eastAsia="Times New Roman" w:hAnsi="Calibri" w:cs="Calibri"/>
                <w:color w:val="000000"/>
              </w:rPr>
              <w:t>Emissions Rate</w:t>
            </w:r>
          </w:p>
        </w:tc>
        <w:tc>
          <w:tcPr>
            <w:tcW w:w="2429" w:type="dxa"/>
            <w:noWrap/>
            <w:vAlign w:val="bottom"/>
            <w:hideMark/>
          </w:tcPr>
          <w:p w14:paraId="16B4A3B5" w14:textId="77777777" w:rsidR="008805AF" w:rsidRDefault="008805AF">
            <w:pPr>
              <w:rPr>
                <w:rFonts w:ascii="Calibri" w:eastAsia="Times New Roman" w:hAnsi="Calibri" w:cs="Calibri"/>
                <w:color w:val="000000"/>
              </w:rPr>
            </w:pPr>
            <w:proofErr w:type="spellStart"/>
            <w:r>
              <w:rPr>
                <w:rFonts w:ascii="Calibri" w:eastAsia="Times New Roman" w:hAnsi="Calibri" w:cs="Calibri"/>
                <w:color w:val="000000"/>
              </w:rPr>
              <w:t>tonnes</w:t>
            </w:r>
            <w:proofErr w:type="spellEnd"/>
            <w:r>
              <w:rPr>
                <w:rFonts w:ascii="Calibri" w:eastAsia="Times New Roman" w:hAnsi="Calibri" w:cs="Calibri"/>
                <w:color w:val="000000"/>
              </w:rPr>
              <w:t>/MWh generated</w:t>
            </w:r>
          </w:p>
        </w:tc>
        <w:tc>
          <w:tcPr>
            <w:tcW w:w="1000" w:type="dxa"/>
            <w:noWrap/>
            <w:vAlign w:val="bottom"/>
            <w:hideMark/>
          </w:tcPr>
          <w:p w14:paraId="2AF90EE0" w14:textId="77777777" w:rsidR="008805AF" w:rsidRDefault="008805AF">
            <w:pPr>
              <w:jc w:val="center"/>
              <w:rPr>
                <w:rFonts w:ascii="Calibri" w:eastAsia="Times New Roman" w:hAnsi="Calibri" w:cs="Calibri"/>
                <w:color w:val="000000"/>
              </w:rPr>
            </w:pPr>
            <w:r>
              <w:rPr>
                <w:rFonts w:ascii="Calibri" w:eastAsia="Times New Roman" w:hAnsi="Calibri" w:cs="Calibri"/>
                <w:color w:val="000000"/>
              </w:rPr>
              <w:t>0.371</w:t>
            </w:r>
          </w:p>
        </w:tc>
      </w:tr>
      <w:tr w:rsidR="008805AF" w14:paraId="0151B592" w14:textId="77777777" w:rsidTr="008805AF">
        <w:trPr>
          <w:trHeight w:val="300"/>
        </w:trPr>
        <w:tc>
          <w:tcPr>
            <w:tcW w:w="3771" w:type="dxa"/>
            <w:noWrap/>
            <w:vAlign w:val="bottom"/>
            <w:hideMark/>
          </w:tcPr>
          <w:p w14:paraId="6DFDC96B" w14:textId="77777777" w:rsidR="008805AF" w:rsidRDefault="008805AF">
            <w:pPr>
              <w:rPr>
                <w:rFonts w:ascii="Calibri" w:eastAsia="Times New Roman" w:hAnsi="Calibri" w:cs="Calibri"/>
                <w:color w:val="000000"/>
              </w:rPr>
            </w:pPr>
            <w:r>
              <w:rPr>
                <w:rFonts w:ascii="Calibri" w:eastAsia="Times New Roman" w:hAnsi="Calibri" w:cs="Calibri"/>
                <w:color w:val="000000"/>
              </w:rPr>
              <w:t>Statewide Average Energy Loss Factor</w:t>
            </w:r>
          </w:p>
        </w:tc>
        <w:tc>
          <w:tcPr>
            <w:tcW w:w="2429" w:type="dxa"/>
            <w:noWrap/>
            <w:vAlign w:val="bottom"/>
            <w:hideMark/>
          </w:tcPr>
          <w:p w14:paraId="3C24F353" w14:textId="77777777" w:rsidR="008805AF" w:rsidRDefault="008805AF">
            <w:pPr>
              <w:rPr>
                <w:rFonts w:ascii="Calibri" w:eastAsia="Times New Roman" w:hAnsi="Calibri" w:cs="Calibri"/>
                <w:color w:val="000000"/>
              </w:rPr>
            </w:pPr>
            <w:r>
              <w:rPr>
                <w:rFonts w:ascii="Calibri" w:eastAsia="Times New Roman" w:hAnsi="Calibri" w:cs="Calibri"/>
                <w:color w:val="000000"/>
              </w:rPr>
              <w:t>%</w:t>
            </w:r>
          </w:p>
        </w:tc>
        <w:tc>
          <w:tcPr>
            <w:tcW w:w="1000" w:type="dxa"/>
            <w:noWrap/>
            <w:vAlign w:val="bottom"/>
            <w:hideMark/>
          </w:tcPr>
          <w:p w14:paraId="70978EE4" w14:textId="77777777" w:rsidR="008805AF" w:rsidRDefault="008805AF">
            <w:pPr>
              <w:jc w:val="center"/>
              <w:rPr>
                <w:rFonts w:ascii="Calibri" w:eastAsia="Times New Roman" w:hAnsi="Calibri" w:cs="Calibri"/>
                <w:color w:val="000000"/>
              </w:rPr>
            </w:pPr>
            <w:r>
              <w:rPr>
                <w:rFonts w:ascii="Calibri" w:eastAsia="Times New Roman" w:hAnsi="Calibri" w:cs="Calibri"/>
                <w:color w:val="000000"/>
              </w:rPr>
              <w:t>7.25%</w:t>
            </w:r>
          </w:p>
        </w:tc>
      </w:tr>
      <w:tr w:rsidR="008805AF" w14:paraId="0FECD38B" w14:textId="77777777" w:rsidTr="008805AF">
        <w:trPr>
          <w:trHeight w:val="300"/>
        </w:trPr>
        <w:tc>
          <w:tcPr>
            <w:tcW w:w="3771" w:type="dxa"/>
            <w:noWrap/>
            <w:vAlign w:val="bottom"/>
            <w:hideMark/>
          </w:tcPr>
          <w:p w14:paraId="36AF5584" w14:textId="77777777" w:rsidR="008805AF" w:rsidRDefault="008805AF">
            <w:pPr>
              <w:rPr>
                <w:rFonts w:ascii="Calibri" w:eastAsia="Times New Roman" w:hAnsi="Calibri" w:cs="Calibri"/>
                <w:color w:val="000000"/>
              </w:rPr>
            </w:pPr>
            <w:r>
              <w:rPr>
                <w:rFonts w:ascii="Calibri" w:eastAsia="Times New Roman" w:hAnsi="Calibri" w:cs="Calibri"/>
                <w:color w:val="000000"/>
              </w:rPr>
              <w:t>Emissions Rate per Delivered MWh</w:t>
            </w:r>
          </w:p>
        </w:tc>
        <w:tc>
          <w:tcPr>
            <w:tcW w:w="2429" w:type="dxa"/>
            <w:noWrap/>
            <w:vAlign w:val="bottom"/>
            <w:hideMark/>
          </w:tcPr>
          <w:p w14:paraId="7F707A9F" w14:textId="77777777" w:rsidR="008805AF" w:rsidRDefault="008805AF">
            <w:pPr>
              <w:rPr>
                <w:rFonts w:ascii="Calibri" w:eastAsia="Times New Roman" w:hAnsi="Calibri" w:cs="Calibri"/>
                <w:color w:val="000000"/>
              </w:rPr>
            </w:pPr>
            <w:proofErr w:type="spellStart"/>
            <w:r>
              <w:rPr>
                <w:rFonts w:ascii="Calibri" w:eastAsia="Times New Roman" w:hAnsi="Calibri" w:cs="Calibri"/>
                <w:color w:val="000000"/>
              </w:rPr>
              <w:t>tonnes</w:t>
            </w:r>
            <w:proofErr w:type="spellEnd"/>
            <w:r>
              <w:rPr>
                <w:rFonts w:ascii="Calibri" w:eastAsia="Times New Roman" w:hAnsi="Calibri" w:cs="Calibri"/>
                <w:color w:val="000000"/>
              </w:rPr>
              <w:t>/MWh delivered</w:t>
            </w:r>
          </w:p>
        </w:tc>
        <w:tc>
          <w:tcPr>
            <w:tcW w:w="1000" w:type="dxa"/>
            <w:noWrap/>
            <w:vAlign w:val="bottom"/>
            <w:hideMark/>
          </w:tcPr>
          <w:p w14:paraId="191D30FB" w14:textId="77777777" w:rsidR="008805AF" w:rsidRDefault="008805AF">
            <w:pPr>
              <w:jc w:val="center"/>
              <w:rPr>
                <w:rFonts w:ascii="Calibri" w:eastAsia="Times New Roman" w:hAnsi="Calibri" w:cs="Calibri"/>
                <w:color w:val="000000"/>
              </w:rPr>
            </w:pPr>
            <w:r>
              <w:rPr>
                <w:rFonts w:ascii="Calibri" w:eastAsia="Times New Roman" w:hAnsi="Calibri" w:cs="Calibri"/>
                <w:color w:val="000000"/>
              </w:rPr>
              <w:t>0.398</w:t>
            </w:r>
          </w:p>
        </w:tc>
      </w:tr>
      <w:tr w:rsidR="008805AF" w14:paraId="2A1598A9" w14:textId="77777777" w:rsidTr="008805AF">
        <w:trPr>
          <w:trHeight w:val="300"/>
        </w:trPr>
        <w:tc>
          <w:tcPr>
            <w:tcW w:w="3771" w:type="dxa"/>
            <w:noWrap/>
            <w:vAlign w:val="bottom"/>
            <w:hideMark/>
          </w:tcPr>
          <w:p w14:paraId="0B7C447B" w14:textId="77777777" w:rsidR="008805AF" w:rsidRDefault="008805AF">
            <w:pPr>
              <w:rPr>
                <w:rFonts w:ascii="Calibri" w:eastAsia="Times New Roman" w:hAnsi="Calibri" w:cs="Calibri"/>
                <w:color w:val="000000"/>
              </w:rPr>
            </w:pPr>
          </w:p>
        </w:tc>
        <w:tc>
          <w:tcPr>
            <w:tcW w:w="2429" w:type="dxa"/>
            <w:noWrap/>
            <w:vAlign w:val="bottom"/>
            <w:hideMark/>
          </w:tcPr>
          <w:p w14:paraId="395BD303" w14:textId="77777777" w:rsidR="008805AF" w:rsidRDefault="008805AF">
            <w:pPr>
              <w:rPr>
                <w:sz w:val="20"/>
                <w:szCs w:val="20"/>
              </w:rPr>
            </w:pPr>
          </w:p>
        </w:tc>
        <w:tc>
          <w:tcPr>
            <w:tcW w:w="1000" w:type="dxa"/>
            <w:noWrap/>
            <w:vAlign w:val="bottom"/>
            <w:hideMark/>
          </w:tcPr>
          <w:p w14:paraId="12BAFA00" w14:textId="77777777" w:rsidR="008805AF" w:rsidRDefault="008805AF">
            <w:pPr>
              <w:rPr>
                <w:sz w:val="20"/>
                <w:szCs w:val="20"/>
              </w:rPr>
            </w:pPr>
          </w:p>
        </w:tc>
      </w:tr>
      <w:tr w:rsidR="008805AF" w14:paraId="21B1BBC4" w14:textId="77777777" w:rsidTr="008805AF">
        <w:trPr>
          <w:trHeight w:val="300"/>
        </w:trPr>
        <w:tc>
          <w:tcPr>
            <w:tcW w:w="3771" w:type="dxa"/>
            <w:noWrap/>
            <w:vAlign w:val="bottom"/>
            <w:hideMark/>
          </w:tcPr>
          <w:p w14:paraId="198E49E3" w14:textId="77777777" w:rsidR="008805AF" w:rsidRDefault="008805AF">
            <w:pPr>
              <w:rPr>
                <w:rFonts w:ascii="Calibri" w:eastAsia="Times New Roman" w:hAnsi="Calibri" w:cs="Calibri"/>
                <w:color w:val="000000"/>
                <w:u w:val="single"/>
              </w:rPr>
            </w:pPr>
            <w:r>
              <w:rPr>
                <w:rFonts w:ascii="Calibri" w:eastAsia="Times New Roman" w:hAnsi="Calibri" w:cs="Calibri"/>
                <w:color w:val="000000"/>
                <w:u w:val="single"/>
              </w:rPr>
              <w:t>2045 Intensity</w:t>
            </w:r>
          </w:p>
        </w:tc>
        <w:tc>
          <w:tcPr>
            <w:tcW w:w="2429" w:type="dxa"/>
            <w:noWrap/>
            <w:vAlign w:val="bottom"/>
            <w:hideMark/>
          </w:tcPr>
          <w:p w14:paraId="02B54FAD" w14:textId="77777777" w:rsidR="008805AF" w:rsidRDefault="008805AF">
            <w:pPr>
              <w:rPr>
                <w:rFonts w:ascii="Calibri" w:eastAsia="Times New Roman" w:hAnsi="Calibri" w:cs="Calibri"/>
                <w:color w:val="000000"/>
                <w:u w:val="single"/>
              </w:rPr>
            </w:pPr>
          </w:p>
        </w:tc>
        <w:tc>
          <w:tcPr>
            <w:tcW w:w="1000" w:type="dxa"/>
            <w:noWrap/>
            <w:vAlign w:val="bottom"/>
            <w:hideMark/>
          </w:tcPr>
          <w:p w14:paraId="00BE5AE5" w14:textId="77777777" w:rsidR="008805AF" w:rsidRDefault="008805AF">
            <w:pPr>
              <w:rPr>
                <w:sz w:val="20"/>
                <w:szCs w:val="20"/>
              </w:rPr>
            </w:pPr>
          </w:p>
        </w:tc>
      </w:tr>
      <w:tr w:rsidR="008805AF" w14:paraId="70ED99A5" w14:textId="77777777" w:rsidTr="008805AF">
        <w:trPr>
          <w:trHeight w:val="300"/>
        </w:trPr>
        <w:tc>
          <w:tcPr>
            <w:tcW w:w="3771" w:type="dxa"/>
            <w:noWrap/>
            <w:vAlign w:val="bottom"/>
            <w:hideMark/>
          </w:tcPr>
          <w:p w14:paraId="3A7D1DFF" w14:textId="77777777" w:rsidR="008805AF" w:rsidRDefault="008805AF">
            <w:pPr>
              <w:rPr>
                <w:rFonts w:ascii="Calibri" w:eastAsia="Times New Roman" w:hAnsi="Calibri" w:cs="Calibri"/>
                <w:color w:val="000000"/>
              </w:rPr>
            </w:pPr>
            <w:r>
              <w:rPr>
                <w:rFonts w:ascii="Calibri" w:eastAsia="Times New Roman" w:hAnsi="Calibri" w:cs="Calibri"/>
                <w:color w:val="000000"/>
              </w:rPr>
              <w:t>Thermal generation share</w:t>
            </w:r>
          </w:p>
        </w:tc>
        <w:tc>
          <w:tcPr>
            <w:tcW w:w="2429" w:type="dxa"/>
            <w:noWrap/>
            <w:vAlign w:val="bottom"/>
            <w:hideMark/>
          </w:tcPr>
          <w:p w14:paraId="6CF4977D" w14:textId="77777777" w:rsidR="008805AF" w:rsidRDefault="008805AF">
            <w:pPr>
              <w:rPr>
                <w:rFonts w:ascii="Calibri" w:eastAsia="Times New Roman" w:hAnsi="Calibri" w:cs="Calibri"/>
                <w:color w:val="000000"/>
              </w:rPr>
            </w:pPr>
            <w:r>
              <w:rPr>
                <w:rFonts w:ascii="Calibri" w:eastAsia="Times New Roman" w:hAnsi="Calibri" w:cs="Calibri"/>
                <w:color w:val="000000"/>
              </w:rPr>
              <w:t>% of Energy</w:t>
            </w:r>
          </w:p>
        </w:tc>
        <w:tc>
          <w:tcPr>
            <w:tcW w:w="1000" w:type="dxa"/>
            <w:noWrap/>
            <w:vAlign w:val="bottom"/>
            <w:hideMark/>
          </w:tcPr>
          <w:p w14:paraId="7E648274" w14:textId="77777777" w:rsidR="008805AF" w:rsidRDefault="008805AF">
            <w:pPr>
              <w:jc w:val="center"/>
              <w:rPr>
                <w:rFonts w:ascii="Calibri" w:eastAsia="Times New Roman" w:hAnsi="Calibri" w:cs="Calibri"/>
                <w:color w:val="000000"/>
              </w:rPr>
            </w:pPr>
            <w:r>
              <w:rPr>
                <w:rFonts w:ascii="Calibri" w:eastAsia="Times New Roman" w:hAnsi="Calibri" w:cs="Calibri"/>
                <w:color w:val="000000"/>
              </w:rPr>
              <w:t>7.25%</w:t>
            </w:r>
          </w:p>
        </w:tc>
      </w:tr>
      <w:tr w:rsidR="008805AF" w14:paraId="662CCB59" w14:textId="77777777" w:rsidTr="008805AF">
        <w:trPr>
          <w:trHeight w:val="300"/>
        </w:trPr>
        <w:tc>
          <w:tcPr>
            <w:tcW w:w="3771" w:type="dxa"/>
            <w:noWrap/>
            <w:vAlign w:val="bottom"/>
            <w:hideMark/>
          </w:tcPr>
          <w:p w14:paraId="662C325F" w14:textId="77777777" w:rsidR="008805AF" w:rsidRDefault="008805AF">
            <w:pPr>
              <w:rPr>
                <w:rFonts w:ascii="Calibri" w:eastAsia="Times New Roman" w:hAnsi="Calibri" w:cs="Calibri"/>
                <w:color w:val="000000"/>
              </w:rPr>
            </w:pPr>
            <w:r>
              <w:rPr>
                <w:rFonts w:ascii="Calibri" w:eastAsia="Times New Roman" w:hAnsi="Calibri" w:cs="Calibri"/>
                <w:color w:val="000000"/>
              </w:rPr>
              <w:t>Emissions Rate per Delivered MWh</w:t>
            </w:r>
          </w:p>
        </w:tc>
        <w:tc>
          <w:tcPr>
            <w:tcW w:w="2429" w:type="dxa"/>
            <w:noWrap/>
            <w:vAlign w:val="bottom"/>
            <w:hideMark/>
          </w:tcPr>
          <w:p w14:paraId="489541D9" w14:textId="77777777" w:rsidR="008805AF" w:rsidRDefault="008805AF">
            <w:pPr>
              <w:rPr>
                <w:rFonts w:ascii="Calibri" w:eastAsia="Times New Roman" w:hAnsi="Calibri" w:cs="Calibri"/>
                <w:color w:val="000000"/>
              </w:rPr>
            </w:pPr>
            <w:proofErr w:type="spellStart"/>
            <w:r>
              <w:rPr>
                <w:rFonts w:ascii="Calibri" w:eastAsia="Times New Roman" w:hAnsi="Calibri" w:cs="Calibri"/>
                <w:color w:val="000000"/>
              </w:rPr>
              <w:t>tonnes</w:t>
            </w:r>
            <w:proofErr w:type="spellEnd"/>
            <w:r>
              <w:rPr>
                <w:rFonts w:ascii="Calibri" w:eastAsia="Times New Roman" w:hAnsi="Calibri" w:cs="Calibri"/>
                <w:color w:val="000000"/>
              </w:rPr>
              <w:t>/MWh</w:t>
            </w:r>
          </w:p>
        </w:tc>
        <w:tc>
          <w:tcPr>
            <w:tcW w:w="1000" w:type="dxa"/>
            <w:noWrap/>
            <w:vAlign w:val="bottom"/>
            <w:hideMark/>
          </w:tcPr>
          <w:p w14:paraId="210C0BC8" w14:textId="77777777" w:rsidR="008805AF" w:rsidRDefault="008805AF">
            <w:pPr>
              <w:jc w:val="center"/>
              <w:rPr>
                <w:rFonts w:ascii="Calibri" w:eastAsia="Times New Roman" w:hAnsi="Calibri" w:cs="Calibri"/>
                <w:color w:val="000000"/>
              </w:rPr>
            </w:pPr>
            <w:r>
              <w:rPr>
                <w:rFonts w:ascii="Calibri" w:eastAsia="Times New Roman" w:hAnsi="Calibri" w:cs="Calibri"/>
                <w:color w:val="000000"/>
              </w:rPr>
              <w:t>0.398</w:t>
            </w:r>
          </w:p>
        </w:tc>
      </w:tr>
      <w:tr w:rsidR="008805AF" w14:paraId="4B107420" w14:textId="77777777" w:rsidTr="008805AF">
        <w:trPr>
          <w:trHeight w:val="300"/>
        </w:trPr>
        <w:tc>
          <w:tcPr>
            <w:tcW w:w="3771" w:type="dxa"/>
            <w:noWrap/>
            <w:vAlign w:val="bottom"/>
            <w:hideMark/>
          </w:tcPr>
          <w:p w14:paraId="5F821169" w14:textId="226C5C4F" w:rsidR="008805AF" w:rsidRDefault="008805AF">
            <w:pPr>
              <w:rPr>
                <w:rFonts w:ascii="Calibri" w:eastAsia="Times New Roman" w:hAnsi="Calibri" w:cs="Calibri"/>
                <w:b/>
                <w:bCs/>
                <w:color w:val="000000"/>
              </w:rPr>
            </w:pPr>
            <w:r>
              <w:rPr>
                <w:rFonts w:ascii="Calibri" w:eastAsia="Times New Roman" w:hAnsi="Calibri" w:cs="Calibri"/>
                <w:b/>
                <w:bCs/>
                <w:color w:val="000000"/>
              </w:rPr>
              <w:t xml:space="preserve">2045 </w:t>
            </w:r>
            <w:r w:rsidR="00C9574E" w:rsidRPr="00C9574E">
              <w:rPr>
                <w:rFonts w:ascii="Calibri" w:eastAsia="Times New Roman" w:hAnsi="Calibri" w:cs="Calibri"/>
                <w:b/>
                <w:bCs/>
                <w:color w:val="000000"/>
              </w:rPr>
              <w:t>CO2 emissions</w:t>
            </w:r>
            <w:r>
              <w:rPr>
                <w:rFonts w:ascii="Calibri" w:eastAsia="Times New Roman" w:hAnsi="Calibri" w:cs="Calibri"/>
                <w:b/>
                <w:bCs/>
                <w:color w:val="000000"/>
              </w:rPr>
              <w:t xml:space="preserve"> intensity</w:t>
            </w:r>
          </w:p>
        </w:tc>
        <w:tc>
          <w:tcPr>
            <w:tcW w:w="2429" w:type="dxa"/>
            <w:noWrap/>
            <w:vAlign w:val="bottom"/>
            <w:hideMark/>
          </w:tcPr>
          <w:p w14:paraId="1BE2E18F" w14:textId="77777777" w:rsidR="008805AF" w:rsidRDefault="008805AF">
            <w:pPr>
              <w:rPr>
                <w:rFonts w:ascii="Calibri" w:eastAsia="Times New Roman" w:hAnsi="Calibri" w:cs="Calibri"/>
                <w:b/>
                <w:bCs/>
                <w:color w:val="000000"/>
              </w:rPr>
            </w:pPr>
            <w:proofErr w:type="spellStart"/>
            <w:r>
              <w:rPr>
                <w:rFonts w:ascii="Calibri" w:eastAsia="Times New Roman" w:hAnsi="Calibri" w:cs="Calibri"/>
                <w:b/>
                <w:bCs/>
                <w:color w:val="000000"/>
              </w:rPr>
              <w:t>tonnes</w:t>
            </w:r>
            <w:proofErr w:type="spellEnd"/>
            <w:r>
              <w:rPr>
                <w:rFonts w:ascii="Calibri" w:eastAsia="Times New Roman" w:hAnsi="Calibri" w:cs="Calibri"/>
                <w:b/>
                <w:bCs/>
                <w:color w:val="000000"/>
              </w:rPr>
              <w:t>/MWh</w:t>
            </w:r>
          </w:p>
        </w:tc>
        <w:tc>
          <w:tcPr>
            <w:tcW w:w="1000" w:type="dxa"/>
            <w:noWrap/>
            <w:vAlign w:val="bottom"/>
            <w:hideMark/>
          </w:tcPr>
          <w:p w14:paraId="69F3DA74" w14:textId="77777777" w:rsidR="008805AF" w:rsidRDefault="008805AF">
            <w:pPr>
              <w:jc w:val="center"/>
              <w:rPr>
                <w:rFonts w:ascii="Calibri" w:eastAsia="Times New Roman" w:hAnsi="Calibri" w:cs="Calibri"/>
                <w:b/>
                <w:bCs/>
                <w:color w:val="000000"/>
              </w:rPr>
            </w:pPr>
            <w:r>
              <w:rPr>
                <w:rFonts w:ascii="Calibri" w:eastAsia="Times New Roman" w:hAnsi="Calibri" w:cs="Calibri"/>
                <w:b/>
                <w:bCs/>
                <w:color w:val="000000"/>
              </w:rPr>
              <w:t>0.029</w:t>
            </w:r>
          </w:p>
        </w:tc>
      </w:tr>
    </w:tbl>
    <w:p w14:paraId="0DCE7C86" w14:textId="3AED3D9D" w:rsidR="00312E00" w:rsidRDefault="00312E00" w:rsidP="00312E00"/>
    <w:p w14:paraId="3A619377" w14:textId="55410D3E" w:rsidR="007F795F" w:rsidRPr="00E144FC" w:rsidRDefault="007F795F" w:rsidP="00312E00">
      <w:pPr>
        <w:rPr>
          <w:rFonts w:eastAsiaTheme="majorEastAsia" w:cstheme="majorBidi"/>
          <w:color w:val="00516F" w:themeColor="accent1" w:themeShade="7F"/>
          <w:sz w:val="24"/>
          <w:szCs w:val="24"/>
        </w:rPr>
      </w:pPr>
      <w:r w:rsidRPr="00E144FC">
        <w:rPr>
          <w:rFonts w:eastAsiaTheme="majorEastAsia" w:cstheme="majorBidi"/>
          <w:color w:val="00516F" w:themeColor="accent1" w:themeShade="7F"/>
          <w:sz w:val="24"/>
          <w:szCs w:val="24"/>
        </w:rPr>
        <w:t xml:space="preserve">Intensity Factor Calculations </w:t>
      </w:r>
    </w:p>
    <w:p w14:paraId="5769BE45" w14:textId="77777777" w:rsidR="007F795F" w:rsidRPr="007F795F" w:rsidRDefault="007F795F" w:rsidP="00312E00">
      <w:pPr>
        <w:rPr>
          <w:b/>
          <w:bCs/>
        </w:rPr>
      </w:pPr>
    </w:p>
    <w:p w14:paraId="1BBE2A22" w14:textId="743B82B9" w:rsidR="008805AF" w:rsidRDefault="008805AF" w:rsidP="008805AF">
      <w:r>
        <w:t xml:space="preserve">The </w:t>
      </w:r>
      <w:r w:rsidR="00474EDC">
        <w:t>CO</w:t>
      </w:r>
      <w:r w:rsidR="00474EDC" w:rsidRPr="00882AC1">
        <w:rPr>
          <w:vertAlign w:val="subscript"/>
        </w:rPr>
        <w:t>2</w:t>
      </w:r>
      <w:r w:rsidR="00474EDC">
        <w:rPr>
          <w:vertAlign w:val="subscript"/>
        </w:rPr>
        <w:t xml:space="preserve"> </w:t>
      </w:r>
      <w:r w:rsidR="00474EDC" w:rsidRPr="00334D64">
        <w:t xml:space="preserve">emission </w:t>
      </w:r>
      <w:proofErr w:type="gramStart"/>
      <w:r w:rsidR="00474EDC" w:rsidRPr="00334D64">
        <w:t>factors</w:t>
      </w:r>
      <w:proofErr w:type="gramEnd"/>
      <w:r>
        <w:t xml:space="preserve"> and Source Energy </w:t>
      </w:r>
      <w:r w:rsidR="007F795F">
        <w:t>factors</w:t>
      </w:r>
      <w:r>
        <w:t xml:space="preserve"> can then be calculated</w:t>
      </w:r>
      <w:r w:rsidR="00772590">
        <w:t>, as described in additional detail in the preceding sections</w:t>
      </w:r>
      <w:r>
        <w:t xml:space="preserve">.  </w:t>
      </w:r>
      <w:r>
        <w:fldChar w:fldCharType="begin"/>
      </w:r>
      <w:r>
        <w:instrText xml:space="preserve"> REF _Ref19023961 \h </w:instrText>
      </w:r>
      <w:r>
        <w:fldChar w:fldCharType="separate"/>
      </w:r>
      <w:r w:rsidR="00BA6A57">
        <w:t xml:space="preserve">Figure </w:t>
      </w:r>
      <w:r w:rsidR="00BA6A57">
        <w:rPr>
          <w:noProof/>
        </w:rPr>
        <w:t>2</w:t>
      </w:r>
      <w:r>
        <w:fldChar w:fldCharType="end"/>
      </w:r>
      <w:r>
        <w:t xml:space="preserve"> and </w:t>
      </w:r>
      <w:r>
        <w:fldChar w:fldCharType="begin"/>
      </w:r>
      <w:r>
        <w:instrText xml:space="preserve"> REF _Ref19023974 \h </w:instrText>
      </w:r>
      <w:r>
        <w:fldChar w:fldCharType="separate"/>
      </w:r>
      <w:r w:rsidR="00BA6A57">
        <w:t xml:space="preserve">Figure </w:t>
      </w:r>
      <w:r w:rsidR="00BA6A57">
        <w:rPr>
          <w:noProof/>
        </w:rPr>
        <w:t>3</w:t>
      </w:r>
      <w:r>
        <w:fldChar w:fldCharType="end"/>
      </w:r>
      <w:r>
        <w:t xml:space="preserve">, below, show the </w:t>
      </w:r>
      <w:r w:rsidR="00474EDC">
        <w:t>CO</w:t>
      </w:r>
      <w:r w:rsidR="00474EDC" w:rsidRPr="00882AC1">
        <w:rPr>
          <w:vertAlign w:val="subscript"/>
        </w:rPr>
        <w:t>2</w:t>
      </w:r>
      <w:r w:rsidR="00474EDC">
        <w:rPr>
          <w:vertAlign w:val="subscript"/>
        </w:rPr>
        <w:t xml:space="preserve"> </w:t>
      </w:r>
      <w:r w:rsidR="00474EDC" w:rsidRPr="00334D64">
        <w:t>emission factors</w:t>
      </w:r>
      <w:r>
        <w:t xml:space="preserve"> and Source Energy </w:t>
      </w:r>
      <w:r w:rsidR="00772590">
        <w:t>f</w:t>
      </w:r>
      <w:r>
        <w:t xml:space="preserve">actors </w:t>
      </w:r>
      <w:r w:rsidR="00474EDC">
        <w:t xml:space="preserve">respectively </w:t>
      </w:r>
      <w:r>
        <w:t>for electricity.  These are annual factors based on the intensity in the</w:t>
      </w:r>
      <w:r w:rsidR="00111E80">
        <w:t xml:space="preserve"> 2017</w:t>
      </w:r>
      <w:r w:rsidR="0018300C">
        <w:t>-2018</w:t>
      </w:r>
      <w:r>
        <w:t xml:space="preserve"> Reference System Plan and incorporate the net effect of both increases from direct emissions and the corresponding supply portfolio response.  To use these factors to estimate the change in electricity emissions the annual energy increase (or decrease) is multiplied by the respective factor for </w:t>
      </w:r>
      <w:r w:rsidR="00474EDC">
        <w:t>CO</w:t>
      </w:r>
      <w:r w:rsidR="00474EDC" w:rsidRPr="00882AC1">
        <w:rPr>
          <w:vertAlign w:val="subscript"/>
        </w:rPr>
        <w:t>2</w:t>
      </w:r>
      <w:r w:rsidR="00474EDC">
        <w:rPr>
          <w:vertAlign w:val="subscript"/>
        </w:rPr>
        <w:t xml:space="preserve"> </w:t>
      </w:r>
      <w:r>
        <w:t xml:space="preserve">emissions and Source Energy.  </w:t>
      </w:r>
    </w:p>
    <w:p w14:paraId="6B4E25D2" w14:textId="77777777" w:rsidR="00474EDC" w:rsidRDefault="00474EDC" w:rsidP="008805AF">
      <w:pPr>
        <w:pStyle w:val="Caption"/>
        <w:keepNext/>
        <w:keepLines/>
      </w:pPr>
      <w:bookmarkStart w:id="137" w:name="_Ref19023961"/>
    </w:p>
    <w:p w14:paraId="696311DF" w14:textId="4203B7D8" w:rsidR="008805AF" w:rsidRDefault="008805AF" w:rsidP="008805AF">
      <w:pPr>
        <w:pStyle w:val="Caption"/>
        <w:keepNext/>
        <w:keepLines/>
      </w:pPr>
      <w:r>
        <w:t xml:space="preserve">Figure </w:t>
      </w:r>
      <w:r w:rsidR="00A621D6">
        <w:rPr>
          <w:noProof/>
        </w:rPr>
        <w:fldChar w:fldCharType="begin"/>
      </w:r>
      <w:r w:rsidR="00A621D6">
        <w:rPr>
          <w:noProof/>
        </w:rPr>
        <w:instrText xml:space="preserve"> SEQ Figure \* ARABIC </w:instrText>
      </w:r>
      <w:r w:rsidR="00A621D6">
        <w:rPr>
          <w:noProof/>
        </w:rPr>
        <w:fldChar w:fldCharType="separate"/>
      </w:r>
      <w:r>
        <w:rPr>
          <w:noProof/>
        </w:rPr>
        <w:t>2</w:t>
      </w:r>
      <w:r w:rsidR="00A621D6">
        <w:rPr>
          <w:noProof/>
        </w:rPr>
        <w:fldChar w:fldCharType="end"/>
      </w:r>
      <w:bookmarkEnd w:id="137"/>
      <w:r>
        <w:t xml:space="preserve">: Fuel Substitution </w:t>
      </w:r>
      <w:r w:rsidR="00C9574E">
        <w:t>CO</w:t>
      </w:r>
      <w:r w:rsidR="00C9574E" w:rsidRPr="00882AC1">
        <w:rPr>
          <w:vertAlign w:val="subscript"/>
        </w:rPr>
        <w:t>2</w:t>
      </w:r>
      <w:r w:rsidR="00C9574E">
        <w:rPr>
          <w:vertAlign w:val="subscript"/>
        </w:rPr>
        <w:t xml:space="preserve"> </w:t>
      </w:r>
      <w:r w:rsidR="00C9574E">
        <w:t>emissions</w:t>
      </w:r>
      <w:r>
        <w:t xml:space="preserve"> Factors</w:t>
      </w:r>
    </w:p>
    <w:p w14:paraId="18B188B5" w14:textId="7C59503C" w:rsidR="008805AF" w:rsidRDefault="008805AF" w:rsidP="22BDC301">
      <w:pPr>
        <w:keepNext/>
        <w:keepLines/>
      </w:pPr>
    </w:p>
    <w:p w14:paraId="3D0E13C5" w14:textId="432A3E86" w:rsidR="00772590" w:rsidRDefault="00772590" w:rsidP="008805AF">
      <w:pPr>
        <w:keepNext/>
        <w:keepLines/>
      </w:pPr>
      <w:r>
        <w:rPr>
          <w:noProof/>
        </w:rPr>
        <w:drawing>
          <wp:inline distT="0" distB="0" distL="0" distR="0" wp14:anchorId="24BDA6C1" wp14:editId="73489933">
            <wp:extent cx="4633595"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33595" cy="2743200"/>
                    </a:xfrm>
                    <a:prstGeom prst="rect">
                      <a:avLst/>
                    </a:prstGeom>
                    <a:noFill/>
                  </pic:spPr>
                </pic:pic>
              </a:graphicData>
            </a:graphic>
          </wp:inline>
        </w:drawing>
      </w:r>
    </w:p>
    <w:p w14:paraId="6DD6426C" w14:textId="77777777" w:rsidR="008805AF" w:rsidRDefault="008805AF" w:rsidP="008805AF"/>
    <w:p w14:paraId="4FBF0BB1" w14:textId="5DE174EF" w:rsidR="008805AF" w:rsidRDefault="008805AF" w:rsidP="008805AF">
      <w:pPr>
        <w:pStyle w:val="Caption"/>
        <w:keepNext/>
        <w:keepLines/>
      </w:pPr>
      <w:bookmarkStart w:id="138" w:name="_Ref19023974"/>
      <w:r>
        <w:lastRenderedPageBreak/>
        <w:t xml:space="preserve">Figure </w:t>
      </w:r>
      <w:r w:rsidR="00A621D6">
        <w:rPr>
          <w:noProof/>
        </w:rPr>
        <w:fldChar w:fldCharType="begin"/>
      </w:r>
      <w:r w:rsidR="00A621D6">
        <w:rPr>
          <w:noProof/>
        </w:rPr>
        <w:instrText xml:space="preserve"> SEQ Figure \* ARABIC </w:instrText>
      </w:r>
      <w:r w:rsidR="00A621D6">
        <w:rPr>
          <w:noProof/>
        </w:rPr>
        <w:fldChar w:fldCharType="separate"/>
      </w:r>
      <w:r>
        <w:rPr>
          <w:noProof/>
        </w:rPr>
        <w:t>3</w:t>
      </w:r>
      <w:r w:rsidR="00A621D6">
        <w:rPr>
          <w:noProof/>
        </w:rPr>
        <w:fldChar w:fldCharType="end"/>
      </w:r>
      <w:bookmarkEnd w:id="138"/>
      <w:r>
        <w:t>: Fuel Substitution Source Energy Factors</w:t>
      </w:r>
    </w:p>
    <w:p w14:paraId="2D4FCFDD" w14:textId="7C441583" w:rsidR="00892BAA" w:rsidRPr="00892BAA" w:rsidRDefault="00892BAA" w:rsidP="00892BAA">
      <w:r>
        <w:rPr>
          <w:noProof/>
        </w:rPr>
        <w:drawing>
          <wp:inline distT="0" distB="0" distL="0" distR="0" wp14:anchorId="5AFA4C15" wp14:editId="4F45A775">
            <wp:extent cx="4596765"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96765" cy="2743200"/>
                    </a:xfrm>
                    <a:prstGeom prst="rect">
                      <a:avLst/>
                    </a:prstGeom>
                    <a:noFill/>
                  </pic:spPr>
                </pic:pic>
              </a:graphicData>
            </a:graphic>
          </wp:inline>
        </w:drawing>
      </w:r>
    </w:p>
    <w:p w14:paraId="6F3052D9" w14:textId="64DF71D3" w:rsidR="008805AF" w:rsidRDefault="008805AF" w:rsidP="008805AF">
      <w:pPr>
        <w:keepNext/>
        <w:keepLines/>
      </w:pPr>
    </w:p>
    <w:p w14:paraId="2BE74EF6" w14:textId="04A8E336" w:rsidR="008805AF" w:rsidRDefault="00772590" w:rsidP="008805AF">
      <w:r>
        <w:t>As the natural gas emissions and source energy factors are based simply on the carbon content of this fossil fuel, these</w:t>
      </w:r>
      <w:r w:rsidR="008805AF">
        <w:t xml:space="preserve"> factors do not change over time</w:t>
      </w:r>
      <w:r>
        <w:t xml:space="preserve"> and instead are represented by</w:t>
      </w:r>
      <w:r w:rsidR="008805AF">
        <w:t xml:space="preserve"> a single factor for emissions and </w:t>
      </w:r>
      <w:r>
        <w:t xml:space="preserve">a single factor for </w:t>
      </w:r>
      <w:r w:rsidR="008805AF">
        <w:t xml:space="preserve">source </w:t>
      </w:r>
      <w:r w:rsidR="00474EDC">
        <w:t>energy,</w:t>
      </w:r>
      <w:r w:rsidR="008805AF">
        <w:t xml:space="preserve"> To calculate the increase (or decrease) in natural gas emissions or source energy</w:t>
      </w:r>
      <w:r w:rsidR="00EB5E38">
        <w:t>,</w:t>
      </w:r>
      <w:r w:rsidR="008805AF">
        <w:t xml:space="preserve"> the total </w:t>
      </w:r>
      <w:r w:rsidR="00881CC9">
        <w:t>life-cycle</w:t>
      </w:r>
      <w:r w:rsidR="008805AF">
        <w:t xml:space="preserve"> change in natural gas use is </w:t>
      </w:r>
      <w:r>
        <w:t xml:space="preserve">therefore simply </w:t>
      </w:r>
      <w:r w:rsidR="008805AF">
        <w:t xml:space="preserve">multiplied by the </w:t>
      </w:r>
      <w:r w:rsidR="00CC0C43">
        <w:t xml:space="preserve">appropriate </w:t>
      </w:r>
      <w:r w:rsidR="008805AF">
        <w:t xml:space="preserve">natural gas factor.  </w:t>
      </w:r>
      <w:r w:rsidR="008805AF">
        <w:fldChar w:fldCharType="begin"/>
      </w:r>
      <w:r w:rsidR="008805AF">
        <w:instrText xml:space="preserve"> REF _Ref19024018 \h </w:instrText>
      </w:r>
      <w:r w:rsidR="008805AF">
        <w:fldChar w:fldCharType="separate"/>
      </w:r>
      <w:r w:rsidR="008805AF">
        <w:t xml:space="preserve">Table </w:t>
      </w:r>
      <w:r w:rsidR="008805AF">
        <w:rPr>
          <w:noProof/>
        </w:rPr>
        <w:t>3</w:t>
      </w:r>
      <w:r w:rsidR="008805AF">
        <w:fldChar w:fldCharType="end"/>
      </w:r>
      <w:r w:rsidR="008805AF">
        <w:t xml:space="preserve">, below, provides the natural gas </w:t>
      </w:r>
      <w:r w:rsidR="00474EDC">
        <w:t>CO</w:t>
      </w:r>
      <w:r w:rsidR="00474EDC" w:rsidRPr="00882AC1">
        <w:rPr>
          <w:vertAlign w:val="subscript"/>
        </w:rPr>
        <w:t>2</w:t>
      </w:r>
      <w:r w:rsidR="00474EDC">
        <w:rPr>
          <w:vertAlign w:val="subscript"/>
        </w:rPr>
        <w:t xml:space="preserve"> </w:t>
      </w:r>
      <w:r w:rsidR="00474EDC">
        <w:t>emissions</w:t>
      </w:r>
      <w:r w:rsidR="008805AF">
        <w:t xml:space="preserve"> and source energy factors.</w:t>
      </w:r>
    </w:p>
    <w:p w14:paraId="53855161" w14:textId="77777777" w:rsidR="00474EDC" w:rsidRDefault="00474EDC" w:rsidP="008805AF"/>
    <w:p w14:paraId="63CCFE38" w14:textId="0399A428" w:rsidR="008805AF" w:rsidRDefault="008805AF" w:rsidP="008805AF">
      <w:pPr>
        <w:pStyle w:val="Caption"/>
      </w:pPr>
      <w:bookmarkStart w:id="139" w:name="_Ref19024018"/>
      <w:r>
        <w:t xml:space="preserve">Table </w:t>
      </w:r>
      <w:r w:rsidR="00A621D6">
        <w:rPr>
          <w:noProof/>
        </w:rPr>
        <w:fldChar w:fldCharType="begin"/>
      </w:r>
      <w:r w:rsidR="00A621D6">
        <w:rPr>
          <w:noProof/>
        </w:rPr>
        <w:instrText xml:space="preserve"> SEQ Table \* ARABIC </w:instrText>
      </w:r>
      <w:r w:rsidR="00A621D6">
        <w:rPr>
          <w:noProof/>
        </w:rPr>
        <w:fldChar w:fldCharType="separate"/>
      </w:r>
      <w:r w:rsidR="004929BA">
        <w:rPr>
          <w:noProof/>
        </w:rPr>
        <w:t>8</w:t>
      </w:r>
      <w:r w:rsidR="00A621D6">
        <w:rPr>
          <w:noProof/>
        </w:rPr>
        <w:fldChar w:fldCharType="end"/>
      </w:r>
      <w:bookmarkEnd w:id="139"/>
      <w:r>
        <w:t>: Fuel Substitution Factors for Natural Gas</w:t>
      </w:r>
    </w:p>
    <w:tbl>
      <w:tblPr>
        <w:tblStyle w:val="TableGrid"/>
        <w:tblW w:w="0" w:type="auto"/>
        <w:tblLook w:val="04A0" w:firstRow="1" w:lastRow="0" w:firstColumn="1" w:lastColumn="0" w:noHBand="0" w:noVBand="1"/>
      </w:tblPr>
      <w:tblGrid>
        <w:gridCol w:w="3865"/>
        <w:gridCol w:w="1890"/>
        <w:gridCol w:w="1890"/>
      </w:tblGrid>
      <w:tr w:rsidR="008805AF" w14:paraId="2684282C" w14:textId="77777777" w:rsidTr="008805AF">
        <w:tc>
          <w:tcPr>
            <w:tcW w:w="3865" w:type="dxa"/>
            <w:tcBorders>
              <w:top w:val="single" w:sz="4" w:space="0" w:color="auto"/>
              <w:left w:val="single" w:sz="4" w:space="0" w:color="auto"/>
              <w:bottom w:val="single" w:sz="4" w:space="0" w:color="auto"/>
              <w:right w:val="single" w:sz="4" w:space="0" w:color="auto"/>
            </w:tcBorders>
            <w:hideMark/>
          </w:tcPr>
          <w:p w14:paraId="4A4195CA" w14:textId="77777777" w:rsidR="008805AF" w:rsidRDefault="008805AF">
            <w:r>
              <w:t>Fuel Substitution Factor for Natural Gas</w:t>
            </w:r>
          </w:p>
        </w:tc>
        <w:tc>
          <w:tcPr>
            <w:tcW w:w="1890" w:type="dxa"/>
            <w:tcBorders>
              <w:top w:val="single" w:sz="4" w:space="0" w:color="auto"/>
              <w:left w:val="single" w:sz="4" w:space="0" w:color="auto"/>
              <w:bottom w:val="single" w:sz="4" w:space="0" w:color="auto"/>
              <w:right w:val="single" w:sz="4" w:space="0" w:color="auto"/>
            </w:tcBorders>
            <w:hideMark/>
          </w:tcPr>
          <w:p w14:paraId="511C525B" w14:textId="77777777" w:rsidR="008805AF" w:rsidRDefault="008805AF">
            <w:r>
              <w:t>Units</w:t>
            </w:r>
          </w:p>
        </w:tc>
        <w:tc>
          <w:tcPr>
            <w:tcW w:w="1890" w:type="dxa"/>
            <w:tcBorders>
              <w:top w:val="single" w:sz="4" w:space="0" w:color="auto"/>
              <w:left w:val="single" w:sz="4" w:space="0" w:color="auto"/>
              <w:bottom w:val="single" w:sz="4" w:space="0" w:color="auto"/>
              <w:right w:val="single" w:sz="4" w:space="0" w:color="auto"/>
            </w:tcBorders>
            <w:hideMark/>
          </w:tcPr>
          <w:p w14:paraId="46903D15" w14:textId="77777777" w:rsidR="008805AF" w:rsidRDefault="008805AF">
            <w:r>
              <w:t>Value</w:t>
            </w:r>
          </w:p>
        </w:tc>
      </w:tr>
      <w:tr w:rsidR="008805AF" w14:paraId="2EFE4331" w14:textId="77777777" w:rsidTr="008805AF">
        <w:tc>
          <w:tcPr>
            <w:tcW w:w="3865" w:type="dxa"/>
            <w:tcBorders>
              <w:top w:val="single" w:sz="4" w:space="0" w:color="auto"/>
              <w:left w:val="single" w:sz="4" w:space="0" w:color="auto"/>
              <w:bottom w:val="single" w:sz="4" w:space="0" w:color="auto"/>
              <w:right w:val="single" w:sz="4" w:space="0" w:color="auto"/>
            </w:tcBorders>
            <w:hideMark/>
          </w:tcPr>
          <w:p w14:paraId="3705D5C9" w14:textId="37363050" w:rsidR="008805AF" w:rsidRDefault="008805AF">
            <w:r>
              <w:t xml:space="preserve">Natural Gas </w:t>
            </w:r>
            <w:r w:rsidR="00474EDC">
              <w:t>CO</w:t>
            </w:r>
            <w:r w:rsidR="00474EDC" w:rsidRPr="00882AC1">
              <w:rPr>
                <w:vertAlign w:val="subscript"/>
              </w:rPr>
              <w:t>2</w:t>
            </w:r>
            <w:r w:rsidR="00474EDC">
              <w:rPr>
                <w:vertAlign w:val="subscript"/>
              </w:rPr>
              <w:t xml:space="preserve"> </w:t>
            </w:r>
            <w:r w:rsidR="00474EDC">
              <w:t>emissions</w:t>
            </w:r>
            <w:r>
              <w:t xml:space="preserve"> </w:t>
            </w:r>
          </w:p>
        </w:tc>
        <w:tc>
          <w:tcPr>
            <w:tcW w:w="1890" w:type="dxa"/>
            <w:tcBorders>
              <w:top w:val="single" w:sz="4" w:space="0" w:color="auto"/>
              <w:left w:val="single" w:sz="4" w:space="0" w:color="auto"/>
              <w:bottom w:val="single" w:sz="4" w:space="0" w:color="auto"/>
              <w:right w:val="single" w:sz="4" w:space="0" w:color="auto"/>
            </w:tcBorders>
            <w:hideMark/>
          </w:tcPr>
          <w:p w14:paraId="75E74387" w14:textId="4A90F354" w:rsidR="008805AF" w:rsidRDefault="00772590">
            <w:r>
              <w:t xml:space="preserve">Metric </w:t>
            </w:r>
            <w:proofErr w:type="spellStart"/>
            <w:r w:rsidR="008805AF">
              <w:t>tonnes</w:t>
            </w:r>
            <w:proofErr w:type="spellEnd"/>
            <w:r w:rsidR="008805AF">
              <w:t>/</w:t>
            </w:r>
            <w:proofErr w:type="spellStart"/>
            <w:r w:rsidR="008805AF">
              <w:t>therm</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44168522" w14:textId="77777777" w:rsidR="008805AF" w:rsidRDefault="008805AF">
            <w:r>
              <w:t>0.00531</w:t>
            </w:r>
          </w:p>
        </w:tc>
      </w:tr>
      <w:tr w:rsidR="008805AF" w14:paraId="6194C092" w14:textId="77777777" w:rsidTr="008805AF">
        <w:tc>
          <w:tcPr>
            <w:tcW w:w="3865" w:type="dxa"/>
            <w:tcBorders>
              <w:top w:val="single" w:sz="4" w:space="0" w:color="auto"/>
              <w:left w:val="single" w:sz="4" w:space="0" w:color="auto"/>
              <w:bottom w:val="single" w:sz="4" w:space="0" w:color="auto"/>
              <w:right w:val="single" w:sz="4" w:space="0" w:color="auto"/>
            </w:tcBorders>
            <w:hideMark/>
          </w:tcPr>
          <w:p w14:paraId="6B648078" w14:textId="77777777" w:rsidR="008805AF" w:rsidRDefault="008805AF">
            <w:r>
              <w:t>Natural Gas Source Energy Factor</w:t>
            </w:r>
          </w:p>
        </w:tc>
        <w:tc>
          <w:tcPr>
            <w:tcW w:w="1890" w:type="dxa"/>
            <w:tcBorders>
              <w:top w:val="single" w:sz="4" w:space="0" w:color="auto"/>
              <w:left w:val="single" w:sz="4" w:space="0" w:color="auto"/>
              <w:bottom w:val="single" w:sz="4" w:space="0" w:color="auto"/>
              <w:right w:val="single" w:sz="4" w:space="0" w:color="auto"/>
            </w:tcBorders>
            <w:hideMark/>
          </w:tcPr>
          <w:p w14:paraId="09A17B5A" w14:textId="77777777" w:rsidR="008805AF" w:rsidRDefault="008805AF">
            <w:r>
              <w:t>Source Btu/</w:t>
            </w:r>
            <w:proofErr w:type="spellStart"/>
            <w:r>
              <w:t>therm</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1305D3A3" w14:textId="77777777" w:rsidR="008805AF" w:rsidRDefault="008805AF">
            <w:r>
              <w:t>100,000</w:t>
            </w:r>
          </w:p>
        </w:tc>
      </w:tr>
    </w:tbl>
    <w:p w14:paraId="22AC8F43" w14:textId="77777777" w:rsidR="008805AF" w:rsidRDefault="008805AF" w:rsidP="008805AF">
      <w:pPr>
        <w:rPr>
          <w:rFonts w:asciiTheme="minorHAnsi" w:hAnsiTheme="minorHAnsi"/>
        </w:rPr>
      </w:pPr>
    </w:p>
    <w:p w14:paraId="5100B83C" w14:textId="0BB76F11" w:rsidR="008805AF" w:rsidRDefault="008805AF" w:rsidP="008805AF">
      <w:r>
        <w:t xml:space="preserve">To complete the calculation of the Fuel Substitution Test </w:t>
      </w:r>
      <w:r w:rsidR="00772590">
        <w:t>for a given measure,</w:t>
      </w:r>
      <w:r>
        <w:t xml:space="preserve"> the </w:t>
      </w:r>
      <w:r w:rsidR="00881CC9">
        <w:t>life-cycle</w:t>
      </w:r>
      <w:r>
        <w:t xml:space="preserve"> change</w:t>
      </w:r>
      <w:r w:rsidR="00DA112E">
        <w:t xml:space="preserve">s are calculated. For Part One of the test, the </w:t>
      </w:r>
      <w:r w:rsidR="00881CC9">
        <w:t>life-cycle</w:t>
      </w:r>
      <w:r w:rsidR="00DA112E">
        <w:t xml:space="preserve"> source energy impact is calculated as the sum of the source energy changes in electricity and the source energy changes in natural gas; for Part Two, the </w:t>
      </w:r>
      <w:r w:rsidR="00881CC9">
        <w:t>life-cycle</w:t>
      </w:r>
      <w:r w:rsidR="00DA112E">
        <w:t xml:space="preserve"> emissions are calculated as the sum of the emissions changes</w:t>
      </w:r>
      <w:r>
        <w:t xml:space="preserve"> in </w:t>
      </w:r>
      <w:r w:rsidR="00DA112E">
        <w:t>electricity</w:t>
      </w:r>
      <w:r>
        <w:t xml:space="preserve"> </w:t>
      </w:r>
      <w:r w:rsidR="00DA112E">
        <w:t>and the emissions changes in natural gas.</w:t>
      </w:r>
      <w:r>
        <w:t xml:space="preserve"> </w:t>
      </w:r>
      <w:proofErr w:type="gramStart"/>
      <w:r>
        <w:t>As long as</w:t>
      </w:r>
      <w:proofErr w:type="gramEnd"/>
      <w:r>
        <w:t xml:space="preserve"> the measure results in a net savings of both </w:t>
      </w:r>
      <w:r w:rsidR="00DA112E">
        <w:t xml:space="preserve">source energy and emissions, </w:t>
      </w:r>
      <w:r>
        <w:t>the measure passes the Fuel Substitution Test.</w:t>
      </w:r>
    </w:p>
    <w:p w14:paraId="02CB3E59" w14:textId="0B2FE73F" w:rsidR="006078D2" w:rsidRDefault="006078D2" w:rsidP="008805AF"/>
    <w:p w14:paraId="47C71030" w14:textId="77777777" w:rsidR="006078D2" w:rsidRDefault="006078D2" w:rsidP="008805AF"/>
    <w:p w14:paraId="76FA28AD" w14:textId="75F76DA1" w:rsidR="002F626E" w:rsidRDefault="002F626E" w:rsidP="00F83696"/>
    <w:p w14:paraId="3035B233" w14:textId="7D734FCD" w:rsidR="004E6F8C" w:rsidRDefault="004E6F8C">
      <w:pPr>
        <w:spacing w:after="200" w:line="276" w:lineRule="auto"/>
      </w:pPr>
      <w:r>
        <w:br w:type="page"/>
      </w:r>
    </w:p>
    <w:p w14:paraId="0E98667D" w14:textId="2F2E46FE" w:rsidR="00DD4AC2" w:rsidRPr="00E9435E" w:rsidRDefault="00DD4AC2" w:rsidP="00D10656">
      <w:pPr>
        <w:pStyle w:val="AppendixH1"/>
        <w:numPr>
          <w:ilvl w:val="0"/>
          <w:numId w:val="0"/>
        </w:numPr>
        <w:ind w:left="432"/>
      </w:pPr>
      <w:bookmarkStart w:id="140" w:name="_Toc23250009"/>
      <w:r w:rsidRPr="00E9435E">
        <w:lastRenderedPageBreak/>
        <w:t xml:space="preserve">Appendix </w:t>
      </w:r>
      <w:r>
        <w:t>B</w:t>
      </w:r>
      <w:r w:rsidRPr="00E9435E">
        <w:t xml:space="preserve"> – </w:t>
      </w:r>
      <w:r>
        <w:t>Sites with on-site generation</w:t>
      </w:r>
      <w:bookmarkEnd w:id="140"/>
    </w:p>
    <w:p w14:paraId="0F2F2094" w14:textId="77777777" w:rsidR="00D130FC" w:rsidRDefault="00D130FC" w:rsidP="00C837E1">
      <w:pPr>
        <w:spacing w:after="200"/>
      </w:pPr>
    </w:p>
    <w:p w14:paraId="7A45495C" w14:textId="77777777" w:rsidR="00C837E1" w:rsidRDefault="00C837E1" w:rsidP="00C837E1">
      <w:pPr>
        <w:spacing w:after="200"/>
      </w:pPr>
      <w:r w:rsidRPr="00FC7C1D">
        <w:t xml:space="preserve">Presence of </w:t>
      </w:r>
      <w:r>
        <w:t xml:space="preserve">non-IOU fuel </w:t>
      </w:r>
      <w:r w:rsidRPr="00FC7C1D">
        <w:t xml:space="preserve">on-site generation sources does not impact the </w:t>
      </w:r>
      <w:r>
        <w:t>fuel substitution test used to determine the fuel substitution measure eligibility</w:t>
      </w:r>
      <w:r w:rsidRPr="00FC7C1D">
        <w:t xml:space="preserve">. The measures should comply with </w:t>
      </w:r>
      <w:r>
        <w:t>established</w:t>
      </w:r>
      <w:r w:rsidRPr="00FC7C1D">
        <w:t xml:space="preserve"> fuel substitution test requirements. </w:t>
      </w:r>
    </w:p>
    <w:p w14:paraId="4F1C39CB" w14:textId="2F3B595D" w:rsidR="00C837E1" w:rsidRDefault="00C837E1" w:rsidP="00C837E1">
      <w:pPr>
        <w:spacing w:after="200"/>
      </w:pPr>
      <w:r w:rsidRPr="00FC7C1D">
        <w:t>For</w:t>
      </w:r>
      <w:r>
        <w:t xml:space="preserve"> claimable energy </w:t>
      </w:r>
      <w:r w:rsidRPr="00FC7C1D">
        <w:t xml:space="preserve">savings used for </w:t>
      </w:r>
      <w:r>
        <w:t xml:space="preserve">incentive, reporting, and </w:t>
      </w:r>
      <w:r w:rsidRPr="00FC7C1D">
        <w:t xml:space="preserve">cost effectiveness </w:t>
      </w:r>
      <w:r w:rsidR="006D52C6">
        <w:t>calculations, the</w:t>
      </w:r>
      <w:r w:rsidRPr="00FC7C1D">
        <w:t xml:space="preserve"> guidance </w:t>
      </w:r>
      <w:r>
        <w:t>e</w:t>
      </w:r>
      <w:r w:rsidRPr="00FC7C1D">
        <w:t>stablished in Non-IOU Supplied Energy Sources – Guidance Document – V1.1</w:t>
      </w:r>
      <w:r w:rsidRPr="00FC7C1D">
        <w:rPr>
          <w:vertAlign w:val="superscript"/>
        </w:rPr>
        <w:footnoteReference w:id="35"/>
      </w:r>
      <w:r w:rsidRPr="762667E3">
        <w:t xml:space="preserve"> </w:t>
      </w:r>
      <w:r>
        <w:t xml:space="preserve">shall be followed </w:t>
      </w:r>
      <w:r w:rsidRPr="00FC7C1D">
        <w:t>with no exemptions.</w:t>
      </w:r>
    </w:p>
    <w:p w14:paraId="08E205D4" w14:textId="77777777" w:rsidR="00C837E1" w:rsidRDefault="00C837E1" w:rsidP="00C837E1">
      <w:pPr>
        <w:spacing w:after="200"/>
      </w:pPr>
      <w:r>
        <w:t>The section below discusses potential impact of fuel substitution measures on claimable energy savings.</w:t>
      </w:r>
    </w:p>
    <w:p w14:paraId="62064AC3" w14:textId="6A790007" w:rsidR="00C837E1" w:rsidRPr="00FC7C1D" w:rsidRDefault="00C837E1" w:rsidP="00C837E1">
      <w:pPr>
        <w:spacing w:after="200"/>
      </w:pPr>
      <w:r w:rsidRPr="00FC7C1D">
        <w:t xml:space="preserve">The </w:t>
      </w:r>
      <w:r>
        <w:t xml:space="preserve">main </w:t>
      </w:r>
      <w:r w:rsidRPr="00FC7C1D">
        <w:t>premise i</w:t>
      </w:r>
      <w:r>
        <w:t>n CPUC’s</w:t>
      </w:r>
      <w:r w:rsidRPr="762667E3">
        <w:t xml:space="preserve"> </w:t>
      </w:r>
      <w:r>
        <w:t xml:space="preserve">non-IOU fuel </w:t>
      </w:r>
      <w:r w:rsidRPr="00FC7C1D">
        <w:t>guidance</w:t>
      </w:r>
      <w:r>
        <w:t xml:space="preserve"> applies</w:t>
      </w:r>
      <w:r w:rsidRPr="00FC7C1D">
        <w:t xml:space="preserve"> when non-IOU energy sources are present </w:t>
      </w:r>
      <w:r>
        <w:t xml:space="preserve">and </w:t>
      </w:r>
      <w:r w:rsidRPr="00FC7C1D">
        <w:t xml:space="preserve">there is </w:t>
      </w:r>
      <w:r>
        <w:t xml:space="preserve">a </w:t>
      </w:r>
      <w:r w:rsidRPr="00FC7C1D">
        <w:t>reduction in energy supplied from grid/ system</w:t>
      </w:r>
      <w:r>
        <w:t xml:space="preserve"> that is</w:t>
      </w:r>
      <w:r w:rsidRPr="00FC7C1D">
        <w:t xml:space="preserve"> subject to electric energy efficiency surcharges or the non-</w:t>
      </w:r>
      <w:proofErr w:type="spellStart"/>
      <w:r w:rsidRPr="00FC7C1D">
        <w:t>bypassable</w:t>
      </w:r>
      <w:proofErr w:type="spellEnd"/>
      <w:r w:rsidRPr="00FC7C1D">
        <w:t xml:space="preserve"> gas surcharge. </w:t>
      </w:r>
      <w:r>
        <w:t>Therefore</w:t>
      </w:r>
      <w:r w:rsidRPr="00FC7C1D">
        <w:t xml:space="preserve">, only the reduced fuel </w:t>
      </w:r>
      <w:r w:rsidR="006D52C6" w:rsidRPr="00FC7C1D">
        <w:t>usage requires</w:t>
      </w:r>
      <w:r w:rsidRPr="762667E3">
        <w:t xml:space="preserve"> </w:t>
      </w:r>
      <w:r>
        <w:t xml:space="preserve">the </w:t>
      </w:r>
      <w:r w:rsidRPr="00FC7C1D">
        <w:t>non-IOU fuel analysis</w:t>
      </w:r>
      <w:r w:rsidRPr="00FC7C1D">
        <w:rPr>
          <w:vertAlign w:val="superscript"/>
        </w:rPr>
        <w:footnoteReference w:id="36"/>
      </w:r>
      <w:r w:rsidRPr="00FC7C1D">
        <w:t>. The increased fuel usage does not require non-IOU fuel analysis</w:t>
      </w:r>
      <w:r>
        <w:t xml:space="preserve"> unless new non-IOU on-site generation sources are added at the facility</w:t>
      </w:r>
      <w:r w:rsidRPr="762667E3">
        <w:t xml:space="preserve">. </w:t>
      </w:r>
    </w:p>
    <w:p w14:paraId="266F1640" w14:textId="3793193B" w:rsidR="00C837E1" w:rsidRPr="00FC7C1D" w:rsidRDefault="00C837E1" w:rsidP="00C837E1">
      <w:pPr>
        <w:spacing w:after="200"/>
      </w:pPr>
      <w:r w:rsidRPr="00FC7C1D">
        <w:t xml:space="preserve">For natural gas to electric measures, the increase in kWh usage is not subject to non-IOU fuel analysis. The </w:t>
      </w:r>
      <w:proofErr w:type="spellStart"/>
      <w:r w:rsidR="002A12B2">
        <w:t>Therm</w:t>
      </w:r>
      <w:proofErr w:type="spellEnd"/>
      <w:r w:rsidRPr="00FC7C1D">
        <w:t xml:space="preserve"> savings are not subject to non-IOU fuel analysis because there is no on-site generation of natural gas which is regulated. Hence, the calculations of </w:t>
      </w:r>
      <w:r>
        <w:t>claimable</w:t>
      </w:r>
      <w:r w:rsidRPr="00FC7C1D">
        <w:t xml:space="preserve"> </w:t>
      </w:r>
      <w:r>
        <w:t>e</w:t>
      </w:r>
      <w:r w:rsidRPr="00FC7C1D">
        <w:t xml:space="preserve">nergy </w:t>
      </w:r>
      <w:r>
        <w:t>s</w:t>
      </w:r>
      <w:r w:rsidRPr="00FC7C1D">
        <w:t xml:space="preserve">avings are not impacted </w:t>
      </w:r>
      <w:r>
        <w:t xml:space="preserve">even </w:t>
      </w:r>
      <w:r w:rsidRPr="00FC7C1D">
        <w:t xml:space="preserve">when on-site </w:t>
      </w:r>
      <w:r>
        <w:t xml:space="preserve">natural gas generation is present. </w:t>
      </w:r>
    </w:p>
    <w:p w14:paraId="0EB54EF3" w14:textId="492E8141" w:rsidR="00C837E1" w:rsidRPr="00FC7C1D" w:rsidRDefault="00C837E1" w:rsidP="00C837E1">
      <w:pPr>
        <w:spacing w:after="200"/>
      </w:pPr>
      <w:r w:rsidRPr="00FC7C1D">
        <w:t xml:space="preserve">For electric to natural gas measures, the decrease in kWh usage is subject to non-IOU fuel analysis </w:t>
      </w:r>
      <w:proofErr w:type="gramStart"/>
      <w:r>
        <w:t>similar to</w:t>
      </w:r>
      <w:proofErr w:type="gramEnd"/>
      <w:r>
        <w:t xml:space="preserve"> other</w:t>
      </w:r>
      <w:r w:rsidRPr="00FC7C1D">
        <w:t xml:space="preserve"> energy efficiency measures. For the same reason explained above, the </w:t>
      </w:r>
      <w:proofErr w:type="spellStart"/>
      <w:r w:rsidR="002A12B2">
        <w:t>Therm</w:t>
      </w:r>
      <w:proofErr w:type="spellEnd"/>
      <w:r w:rsidRPr="00FC7C1D">
        <w:t xml:space="preserve"> increase does not require non-IOU fuel analysis. The kWh savings after non-IOU fuel analysis </w:t>
      </w:r>
      <w:r>
        <w:t xml:space="preserve">is </w:t>
      </w:r>
      <w:r w:rsidRPr="00FC7C1D">
        <w:t xml:space="preserve">added to the </w:t>
      </w:r>
      <w:proofErr w:type="spellStart"/>
      <w:r w:rsidR="002A12B2">
        <w:t>Therm</w:t>
      </w:r>
      <w:proofErr w:type="spellEnd"/>
      <w:r w:rsidRPr="00FC7C1D">
        <w:t xml:space="preserve"> savings </w:t>
      </w:r>
      <w:r>
        <w:t>(</w:t>
      </w:r>
      <w:r w:rsidRPr="00FC7C1D">
        <w:t>converted to kWh</w:t>
      </w:r>
      <w:r>
        <w:t>) for calculating the claimable energy savings</w:t>
      </w:r>
      <w:r w:rsidRPr="00FC7C1D">
        <w:t xml:space="preserve">.  </w:t>
      </w:r>
    </w:p>
    <w:p w14:paraId="5CA26E82" w14:textId="77777777" w:rsidR="00C837E1" w:rsidRPr="00FC7C1D" w:rsidRDefault="00C837E1" w:rsidP="00C837E1">
      <w:pPr>
        <w:spacing w:after="200"/>
      </w:pPr>
      <w:r w:rsidRPr="00FC7C1D">
        <w:t>Please note</w:t>
      </w:r>
      <w:r>
        <w:t>,</w:t>
      </w:r>
      <w:r w:rsidRPr="00FC7C1D">
        <w:t xml:space="preserve"> for natural gas to electric measures, there could be scenarios where mixed fuel (electricity + natural gas) is substituted with one new fuel (electricity) and the increase in substituted fuel (gas to electricity) is outweighed by the savings from electricity part of the mixed fuel, resulting in decreased kWh. In such scenario kWh savings </w:t>
      </w:r>
      <w:r>
        <w:t xml:space="preserve">will </w:t>
      </w:r>
      <w:r w:rsidRPr="00FC7C1D">
        <w:t xml:space="preserve">require non-IOU fuel analysis.  </w:t>
      </w:r>
    </w:p>
    <w:p w14:paraId="5F82CAB9" w14:textId="77777777" w:rsidR="00DD4AC2" w:rsidRDefault="00DD4AC2">
      <w:pPr>
        <w:spacing w:after="200" w:line="276" w:lineRule="auto"/>
        <w:rPr>
          <w:rFonts w:eastAsiaTheme="majorEastAsia" w:cstheme="majorBidi"/>
          <w:color w:val="00A5DF"/>
          <w:sz w:val="32"/>
          <w:szCs w:val="32"/>
        </w:rPr>
      </w:pPr>
      <w:r>
        <w:br w:type="page"/>
      </w:r>
    </w:p>
    <w:p w14:paraId="53D7BC1D" w14:textId="2558ECD7" w:rsidR="00EB189D" w:rsidRPr="00E9435E" w:rsidRDefault="001847F2" w:rsidP="00D10656">
      <w:pPr>
        <w:pStyle w:val="AppendixH1"/>
        <w:numPr>
          <w:ilvl w:val="0"/>
          <w:numId w:val="0"/>
        </w:numPr>
        <w:ind w:left="432"/>
      </w:pPr>
      <w:bookmarkStart w:id="141" w:name="_Toc23250010"/>
      <w:r w:rsidRPr="00E9435E">
        <w:lastRenderedPageBreak/>
        <w:t xml:space="preserve">Appendix </w:t>
      </w:r>
      <w:r w:rsidR="00DD4AC2">
        <w:t>C</w:t>
      </w:r>
      <w:r w:rsidR="00D47D43" w:rsidRPr="00E9435E">
        <w:t xml:space="preserve"> </w:t>
      </w:r>
      <w:r w:rsidRPr="00E9435E">
        <w:t>–</w:t>
      </w:r>
      <w:r w:rsidR="00454B1B" w:rsidRPr="00E9435E">
        <w:t xml:space="preserve"> </w:t>
      </w:r>
      <w:bookmarkStart w:id="142" w:name="_Toc512857720"/>
      <w:r w:rsidR="00EB189D" w:rsidRPr="00E9435E">
        <w:t>Glossary</w:t>
      </w:r>
      <w:bookmarkEnd w:id="134"/>
      <w:bookmarkEnd w:id="141"/>
      <w:bookmarkEnd w:id="142"/>
    </w:p>
    <w:tbl>
      <w:tblPr>
        <w:tblStyle w:val="TableGrid"/>
        <w:tblW w:w="9648" w:type="dxa"/>
        <w:tblLayout w:type="fixed"/>
        <w:tblLook w:val="04A0" w:firstRow="1" w:lastRow="0" w:firstColumn="1" w:lastColumn="0" w:noHBand="0" w:noVBand="1"/>
      </w:tblPr>
      <w:tblGrid>
        <w:gridCol w:w="2464"/>
        <w:gridCol w:w="7184"/>
      </w:tblGrid>
      <w:tr w:rsidR="00EB189D" w:rsidRPr="00E9435E" w14:paraId="6FA1027B" w14:textId="77777777" w:rsidTr="762667E3">
        <w:trPr>
          <w:cantSplit/>
          <w:tblHeader/>
        </w:trPr>
        <w:tc>
          <w:tcPr>
            <w:tcW w:w="2464" w:type="dxa"/>
            <w:shd w:val="clear" w:color="auto" w:fill="92CDDC" w:themeFill="accent5" w:themeFillTint="99"/>
          </w:tcPr>
          <w:p w14:paraId="16588CA7" w14:textId="77777777" w:rsidR="00EB189D" w:rsidRPr="00E9435E" w:rsidRDefault="00EB189D" w:rsidP="000328E0">
            <w:pPr>
              <w:jc w:val="center"/>
              <w:rPr>
                <w:rFonts w:eastAsiaTheme="majorEastAsia" w:cs="Arial"/>
                <w:b/>
                <w:sz w:val="24"/>
                <w:szCs w:val="20"/>
              </w:rPr>
            </w:pPr>
            <w:r w:rsidRPr="00E9435E">
              <w:rPr>
                <w:rFonts w:eastAsiaTheme="majorEastAsia" w:cs="Arial"/>
                <w:b/>
                <w:sz w:val="24"/>
                <w:szCs w:val="20"/>
              </w:rPr>
              <w:t>Term</w:t>
            </w:r>
          </w:p>
        </w:tc>
        <w:tc>
          <w:tcPr>
            <w:tcW w:w="7184" w:type="dxa"/>
            <w:shd w:val="clear" w:color="auto" w:fill="92CDDC" w:themeFill="accent5" w:themeFillTint="99"/>
          </w:tcPr>
          <w:p w14:paraId="5E1891DF" w14:textId="77777777" w:rsidR="00EB189D" w:rsidRPr="00E9435E" w:rsidRDefault="00EB189D" w:rsidP="000328E0">
            <w:pPr>
              <w:jc w:val="center"/>
              <w:rPr>
                <w:rFonts w:eastAsiaTheme="majorEastAsia" w:cs="Arial"/>
                <w:b/>
                <w:sz w:val="24"/>
                <w:szCs w:val="20"/>
              </w:rPr>
            </w:pPr>
            <w:r w:rsidRPr="00E9435E">
              <w:rPr>
                <w:rFonts w:eastAsiaTheme="majorEastAsia" w:cs="Arial"/>
                <w:b/>
                <w:sz w:val="24"/>
                <w:szCs w:val="20"/>
              </w:rPr>
              <w:t>Definition</w:t>
            </w:r>
          </w:p>
        </w:tc>
      </w:tr>
      <w:tr w:rsidR="00EB189D" w:rsidRPr="00E9435E" w14:paraId="2C1FD1E0" w14:textId="77777777" w:rsidTr="762667E3">
        <w:trPr>
          <w:cantSplit/>
        </w:trPr>
        <w:tc>
          <w:tcPr>
            <w:tcW w:w="2464" w:type="dxa"/>
          </w:tcPr>
          <w:p w14:paraId="0EE92D29" w14:textId="77777777" w:rsidR="00EB189D" w:rsidRPr="00E9435E" w:rsidRDefault="00EB189D" w:rsidP="000328E0">
            <w:pPr>
              <w:rPr>
                <w:rFonts w:cs="Arial"/>
                <w:sz w:val="20"/>
                <w:szCs w:val="20"/>
              </w:rPr>
            </w:pPr>
            <w:r w:rsidRPr="00E9435E">
              <w:rPr>
                <w:rFonts w:cs="Arial"/>
                <w:sz w:val="20"/>
                <w:szCs w:val="20"/>
              </w:rPr>
              <w:t>Accelerated Replacement (AR)</w:t>
            </w:r>
          </w:p>
        </w:tc>
        <w:tc>
          <w:tcPr>
            <w:tcW w:w="7184" w:type="dxa"/>
          </w:tcPr>
          <w:p w14:paraId="227636C4" w14:textId="77777777" w:rsidR="00EB189D" w:rsidRPr="00E9435E" w:rsidRDefault="00EB189D" w:rsidP="000328E0">
            <w:pPr>
              <w:rPr>
                <w:rFonts w:cs="Arial"/>
                <w:sz w:val="20"/>
                <w:szCs w:val="20"/>
              </w:rPr>
            </w:pPr>
            <w:r w:rsidRPr="00E9435E">
              <w:rPr>
                <w:rFonts w:cs="Arial"/>
                <w:sz w:val="20"/>
                <w:szCs w:val="20"/>
              </w:rPr>
              <w:t>See Measure Application Type.</w:t>
            </w:r>
          </w:p>
        </w:tc>
      </w:tr>
      <w:tr w:rsidR="00EB189D" w:rsidRPr="00E9435E" w14:paraId="714C68D2" w14:textId="77777777" w:rsidTr="762667E3">
        <w:trPr>
          <w:cantSplit/>
        </w:trPr>
        <w:tc>
          <w:tcPr>
            <w:tcW w:w="2464" w:type="dxa"/>
          </w:tcPr>
          <w:p w14:paraId="5BC33B97" w14:textId="77777777" w:rsidR="00EB189D" w:rsidRPr="00E9435E" w:rsidRDefault="00EB189D" w:rsidP="000328E0">
            <w:pPr>
              <w:rPr>
                <w:rFonts w:eastAsiaTheme="majorEastAsia" w:cs="Arial"/>
                <w:sz w:val="20"/>
                <w:szCs w:val="20"/>
              </w:rPr>
            </w:pPr>
            <w:r w:rsidRPr="00E9435E">
              <w:rPr>
                <w:rFonts w:cs="Arial"/>
                <w:sz w:val="20"/>
                <w:szCs w:val="20"/>
              </w:rPr>
              <w:t>Accelerated Replacement Cost (ARC)</w:t>
            </w:r>
          </w:p>
        </w:tc>
        <w:tc>
          <w:tcPr>
            <w:tcW w:w="7184" w:type="dxa"/>
          </w:tcPr>
          <w:p w14:paraId="6BD1F90D" w14:textId="77777777" w:rsidR="00EB189D" w:rsidRPr="00E9435E" w:rsidRDefault="00EB189D" w:rsidP="000328E0">
            <w:pPr>
              <w:rPr>
                <w:rFonts w:eastAsiaTheme="majorEastAsia" w:cs="Arial"/>
                <w:sz w:val="20"/>
                <w:szCs w:val="20"/>
              </w:rPr>
            </w:pPr>
            <w:r w:rsidRPr="00E9435E">
              <w:rPr>
                <w:rFonts w:cs="Arial"/>
                <w:sz w:val="20"/>
                <w:szCs w:val="20"/>
              </w:rPr>
              <w:t>The full measure cost incurred to install the new high-efficiency measure, reduced by the net present value of the full measure cost that would have been incurred to install the standard efficiency equipment at the end of the remaining useful life period. See Section 2.3.3.1.4 for more information.</w:t>
            </w:r>
          </w:p>
        </w:tc>
      </w:tr>
      <w:tr w:rsidR="00EB189D" w:rsidRPr="00E9435E" w14:paraId="1810776D" w14:textId="77777777" w:rsidTr="762667E3">
        <w:trPr>
          <w:cantSplit/>
        </w:trPr>
        <w:tc>
          <w:tcPr>
            <w:tcW w:w="2464" w:type="dxa"/>
          </w:tcPr>
          <w:p w14:paraId="1B5E3F4C" w14:textId="77777777" w:rsidR="00EB189D" w:rsidRPr="00E9435E" w:rsidRDefault="00EB189D" w:rsidP="000328E0">
            <w:pPr>
              <w:rPr>
                <w:rFonts w:cs="Arial"/>
                <w:sz w:val="20"/>
                <w:szCs w:val="20"/>
              </w:rPr>
            </w:pPr>
            <w:r w:rsidRPr="00E9435E">
              <w:rPr>
                <w:rFonts w:cs="Arial"/>
                <w:sz w:val="20"/>
                <w:szCs w:val="20"/>
              </w:rPr>
              <w:t>Add-On Equipment (AOE)</w:t>
            </w:r>
          </w:p>
        </w:tc>
        <w:tc>
          <w:tcPr>
            <w:tcW w:w="7184" w:type="dxa"/>
          </w:tcPr>
          <w:p w14:paraId="09AEF598" w14:textId="77777777" w:rsidR="00EB189D" w:rsidRPr="00E9435E" w:rsidRDefault="00EB189D" w:rsidP="000328E0">
            <w:pPr>
              <w:rPr>
                <w:rFonts w:cs="Arial"/>
                <w:sz w:val="20"/>
                <w:szCs w:val="20"/>
              </w:rPr>
            </w:pPr>
            <w:r w:rsidRPr="00E9435E">
              <w:rPr>
                <w:rFonts w:cs="Arial"/>
                <w:sz w:val="20"/>
                <w:szCs w:val="20"/>
              </w:rPr>
              <w:t>See Measure Application Type.</w:t>
            </w:r>
          </w:p>
        </w:tc>
      </w:tr>
      <w:tr w:rsidR="00EB189D" w:rsidRPr="00E9435E" w14:paraId="1DCAF3E7" w14:textId="77777777" w:rsidTr="762667E3">
        <w:trPr>
          <w:cantSplit/>
        </w:trPr>
        <w:tc>
          <w:tcPr>
            <w:tcW w:w="2464" w:type="dxa"/>
          </w:tcPr>
          <w:p w14:paraId="6CFDF4FC" w14:textId="77777777" w:rsidR="00EB189D" w:rsidRPr="00E9435E" w:rsidRDefault="00EB189D" w:rsidP="000328E0">
            <w:pPr>
              <w:rPr>
                <w:rFonts w:cs="Arial"/>
                <w:sz w:val="20"/>
                <w:szCs w:val="20"/>
              </w:rPr>
            </w:pPr>
            <w:r w:rsidRPr="00E9435E">
              <w:rPr>
                <w:rFonts w:cs="Arial"/>
                <w:sz w:val="20"/>
                <w:szCs w:val="20"/>
              </w:rPr>
              <w:t xml:space="preserve">Behavioral, </w:t>
            </w:r>
            <w:proofErr w:type="spellStart"/>
            <w:r w:rsidRPr="00E9435E">
              <w:rPr>
                <w:rFonts w:cs="Arial"/>
                <w:sz w:val="20"/>
                <w:szCs w:val="20"/>
              </w:rPr>
              <w:t>Retrocommissioning</w:t>
            </w:r>
            <w:proofErr w:type="spellEnd"/>
            <w:r w:rsidRPr="00E9435E">
              <w:rPr>
                <w:rFonts w:cs="Arial"/>
                <w:sz w:val="20"/>
                <w:szCs w:val="20"/>
              </w:rPr>
              <w:t>, and Operational (BRO)</w:t>
            </w:r>
          </w:p>
        </w:tc>
        <w:tc>
          <w:tcPr>
            <w:tcW w:w="7184" w:type="dxa"/>
          </w:tcPr>
          <w:p w14:paraId="65AC4B20" w14:textId="77777777" w:rsidR="00EB189D" w:rsidRPr="00E9435E" w:rsidRDefault="00EB189D" w:rsidP="000328E0">
            <w:pPr>
              <w:rPr>
                <w:rFonts w:cs="Arial"/>
                <w:sz w:val="20"/>
                <w:szCs w:val="20"/>
              </w:rPr>
            </w:pPr>
            <w:r w:rsidRPr="00E9435E">
              <w:rPr>
                <w:rFonts w:cs="Arial"/>
                <w:sz w:val="20"/>
                <w:szCs w:val="20"/>
              </w:rPr>
              <w:t>See Measure Application Type.</w:t>
            </w:r>
          </w:p>
        </w:tc>
      </w:tr>
      <w:tr w:rsidR="00EB189D" w:rsidRPr="00E9435E" w14:paraId="5CB202DD" w14:textId="77777777" w:rsidTr="762667E3">
        <w:trPr>
          <w:cantSplit/>
        </w:trPr>
        <w:tc>
          <w:tcPr>
            <w:tcW w:w="2464" w:type="dxa"/>
          </w:tcPr>
          <w:p w14:paraId="0DFBA044" w14:textId="77777777" w:rsidR="00EB189D" w:rsidRPr="00E9435E" w:rsidRDefault="00EB189D" w:rsidP="000328E0">
            <w:pPr>
              <w:rPr>
                <w:rFonts w:cs="Arial"/>
                <w:sz w:val="20"/>
                <w:szCs w:val="20"/>
              </w:rPr>
            </w:pPr>
            <w:r w:rsidRPr="00E9435E">
              <w:rPr>
                <w:rFonts w:cs="Arial"/>
                <w:sz w:val="20"/>
                <w:szCs w:val="20"/>
              </w:rPr>
              <w:t>California Public Utilities Commission (CPUC)</w:t>
            </w:r>
          </w:p>
        </w:tc>
        <w:tc>
          <w:tcPr>
            <w:tcW w:w="7184" w:type="dxa"/>
          </w:tcPr>
          <w:p w14:paraId="093FFECA" w14:textId="77777777" w:rsidR="00EE0BDF" w:rsidRPr="00E9435E" w:rsidRDefault="00EB189D" w:rsidP="000328E0">
            <w:pPr>
              <w:rPr>
                <w:rFonts w:cs="Arial"/>
                <w:sz w:val="20"/>
                <w:szCs w:val="20"/>
              </w:rPr>
            </w:pPr>
            <w:r w:rsidRPr="00E9435E">
              <w:rPr>
                <w:rFonts w:cs="Arial"/>
                <w:sz w:val="20"/>
                <w:szCs w:val="20"/>
              </w:rPr>
              <w:t>Regulates investor-owned electric and natural gas utilities operating in California. Regulates privately owned electric, natural gas, telecommunications, water, railroad, rail transit, and passenger transportation companies, in addition to authorizing video franchises.</w:t>
            </w:r>
            <w:r w:rsidR="00EE0BDF" w:rsidRPr="00E9435E">
              <w:rPr>
                <w:rStyle w:val="FootnoteReference"/>
                <w:rFonts w:cs="Arial"/>
                <w:sz w:val="20"/>
                <w:szCs w:val="20"/>
              </w:rPr>
              <w:footnoteReference w:id="37"/>
            </w:r>
          </w:p>
        </w:tc>
      </w:tr>
      <w:tr w:rsidR="00EB189D" w:rsidRPr="00E9435E" w14:paraId="4FD515E5" w14:textId="77777777" w:rsidTr="762667E3">
        <w:trPr>
          <w:cantSplit/>
        </w:trPr>
        <w:tc>
          <w:tcPr>
            <w:tcW w:w="2464" w:type="dxa"/>
          </w:tcPr>
          <w:p w14:paraId="3424B1FA" w14:textId="77777777" w:rsidR="00EB189D" w:rsidRPr="00E9435E" w:rsidRDefault="00EB189D" w:rsidP="000328E0">
            <w:pPr>
              <w:rPr>
                <w:rFonts w:eastAsiaTheme="majorEastAsia" w:cs="Arial"/>
                <w:sz w:val="20"/>
                <w:szCs w:val="20"/>
              </w:rPr>
            </w:pPr>
            <w:r w:rsidRPr="00E9435E">
              <w:rPr>
                <w:rFonts w:cs="Arial"/>
                <w:sz w:val="20"/>
                <w:szCs w:val="20"/>
              </w:rPr>
              <w:t>Code</w:t>
            </w:r>
          </w:p>
        </w:tc>
        <w:tc>
          <w:tcPr>
            <w:tcW w:w="7184" w:type="dxa"/>
          </w:tcPr>
          <w:p w14:paraId="7ECC878D" w14:textId="77777777" w:rsidR="00EE0BDF" w:rsidRPr="00E9435E" w:rsidRDefault="00EB189D" w:rsidP="000328E0">
            <w:pPr>
              <w:rPr>
                <w:rFonts w:eastAsiaTheme="majorEastAsia" w:cs="Arial"/>
                <w:sz w:val="20"/>
                <w:szCs w:val="20"/>
              </w:rPr>
            </w:pPr>
            <w:r w:rsidRPr="00E9435E">
              <w:rPr>
                <w:rFonts w:cs="Arial"/>
                <w:sz w:val="20"/>
                <w:szCs w:val="20"/>
              </w:rPr>
              <w:t>In California energy efficiency context, generally refers to Title 20 (appliance energy efficiency) and Title 24 (building energy efficiency) of the California Code of Regulations but can be any codes and regulations enacted by federal and local governments and regulatory agencies that mandate a particular technology to be utilized.</w:t>
            </w:r>
            <w:r w:rsidR="00EE0BDF" w:rsidRPr="00E9435E">
              <w:rPr>
                <w:rStyle w:val="FootnoteReference"/>
                <w:rFonts w:cs="Arial"/>
                <w:sz w:val="20"/>
                <w:szCs w:val="20"/>
              </w:rPr>
              <w:footnoteReference w:id="38"/>
            </w:r>
          </w:p>
        </w:tc>
      </w:tr>
      <w:tr w:rsidR="00EB189D" w:rsidRPr="00E9435E" w14:paraId="0C5AD585" w14:textId="77777777" w:rsidTr="762667E3">
        <w:trPr>
          <w:cantSplit/>
        </w:trPr>
        <w:tc>
          <w:tcPr>
            <w:tcW w:w="2464" w:type="dxa"/>
          </w:tcPr>
          <w:p w14:paraId="57086DD7" w14:textId="77777777" w:rsidR="00EB189D" w:rsidRPr="00E9435E" w:rsidRDefault="00EB189D" w:rsidP="000328E0">
            <w:pPr>
              <w:rPr>
                <w:rFonts w:cs="Arial"/>
                <w:sz w:val="20"/>
                <w:szCs w:val="20"/>
              </w:rPr>
            </w:pPr>
            <w:r w:rsidRPr="00E9435E">
              <w:rPr>
                <w:rFonts w:cs="Arial"/>
                <w:sz w:val="20"/>
                <w:szCs w:val="20"/>
              </w:rPr>
              <w:t>Database of Energy Efficiency Resources (DEER)</w:t>
            </w:r>
          </w:p>
        </w:tc>
        <w:tc>
          <w:tcPr>
            <w:tcW w:w="7184" w:type="dxa"/>
          </w:tcPr>
          <w:p w14:paraId="796AAC24" w14:textId="77777777" w:rsidR="00EB189D" w:rsidRPr="00E9435E" w:rsidRDefault="00EB189D" w:rsidP="000328E0">
            <w:pPr>
              <w:rPr>
                <w:rFonts w:cs="Arial"/>
                <w:sz w:val="20"/>
                <w:szCs w:val="20"/>
              </w:rPr>
            </w:pPr>
            <w:r w:rsidRPr="00E9435E">
              <w:rPr>
                <w:rFonts w:cs="Arial"/>
                <w:sz w:val="20"/>
                <w:szCs w:val="20"/>
              </w:rPr>
              <w:t xml:space="preserve">Database located at: </w:t>
            </w:r>
            <w:hyperlink r:id="rId24" w:history="1">
              <w:r w:rsidRPr="00E9435E">
                <w:rPr>
                  <w:rStyle w:val="Hyperlink"/>
                  <w:rFonts w:cs="Arial"/>
                  <w:color w:val="auto"/>
                  <w:sz w:val="20"/>
                  <w:szCs w:val="20"/>
                </w:rPr>
                <w:t>http://www.deeresources.com</w:t>
              </w:r>
            </w:hyperlink>
            <w:r w:rsidRPr="00E9435E">
              <w:rPr>
                <w:rFonts w:cs="Arial"/>
                <w:sz w:val="20"/>
                <w:szCs w:val="20"/>
              </w:rPr>
              <w:t xml:space="preserve"> that contains information on energy efficiency technologies and measures, including estimates of energy savings potential and measure costs for these technologies in residential and non-residential applications. </w:t>
            </w:r>
          </w:p>
        </w:tc>
      </w:tr>
      <w:tr w:rsidR="00EB189D" w:rsidRPr="00E9435E" w14:paraId="4A1EBE07" w14:textId="77777777" w:rsidTr="762667E3">
        <w:trPr>
          <w:cantSplit/>
        </w:trPr>
        <w:tc>
          <w:tcPr>
            <w:tcW w:w="2464" w:type="dxa"/>
          </w:tcPr>
          <w:p w14:paraId="13BE0D49" w14:textId="77777777" w:rsidR="00EB189D" w:rsidRPr="00E9435E" w:rsidRDefault="00EB189D" w:rsidP="000328E0">
            <w:pPr>
              <w:rPr>
                <w:rFonts w:cs="Arial"/>
                <w:sz w:val="20"/>
                <w:szCs w:val="20"/>
              </w:rPr>
            </w:pPr>
            <w:r w:rsidRPr="00E9435E">
              <w:rPr>
                <w:rFonts w:cs="Arial"/>
                <w:sz w:val="20"/>
                <w:szCs w:val="20"/>
              </w:rPr>
              <w:t>Deemed Measure</w:t>
            </w:r>
          </w:p>
        </w:tc>
        <w:tc>
          <w:tcPr>
            <w:tcW w:w="7184" w:type="dxa"/>
          </w:tcPr>
          <w:p w14:paraId="7D10654F" w14:textId="77777777" w:rsidR="00EB189D" w:rsidRPr="00E9435E" w:rsidRDefault="00EB189D" w:rsidP="000328E0">
            <w:pPr>
              <w:rPr>
                <w:rFonts w:cs="Arial"/>
                <w:sz w:val="20"/>
                <w:szCs w:val="20"/>
              </w:rPr>
            </w:pPr>
            <w:r w:rsidRPr="00E9435E">
              <w:rPr>
                <w:rFonts w:cs="Arial"/>
                <w:sz w:val="20"/>
                <w:szCs w:val="20"/>
              </w:rPr>
              <w:t>A prescriptive energy efficiency measure. Energy efficiency measures with predefined savings calculations, cost, eligibility, and other measure attributes.</w:t>
            </w:r>
            <w:r w:rsidR="00EE0BDF" w:rsidRPr="00E9435E">
              <w:rPr>
                <w:rStyle w:val="FootnoteReference"/>
                <w:rFonts w:cs="Arial"/>
                <w:sz w:val="20"/>
                <w:szCs w:val="20"/>
              </w:rPr>
              <w:footnoteReference w:id="39"/>
            </w:r>
            <w:r w:rsidR="00EE0BDF" w:rsidRPr="00E9435E">
              <w:rPr>
                <w:rFonts w:cs="Arial"/>
                <w:sz w:val="20"/>
                <w:szCs w:val="20"/>
              </w:rPr>
              <w:t xml:space="preserve"> </w:t>
            </w:r>
          </w:p>
        </w:tc>
      </w:tr>
      <w:tr w:rsidR="00EB189D" w:rsidRPr="00E9435E" w14:paraId="5A4D9436" w14:textId="77777777" w:rsidTr="762667E3">
        <w:trPr>
          <w:cantSplit/>
        </w:trPr>
        <w:tc>
          <w:tcPr>
            <w:tcW w:w="2464" w:type="dxa"/>
          </w:tcPr>
          <w:p w14:paraId="186CEB09" w14:textId="77777777" w:rsidR="00EB189D" w:rsidRPr="00E9435E" w:rsidRDefault="00EB189D" w:rsidP="000328E0">
            <w:pPr>
              <w:rPr>
                <w:rFonts w:eastAsiaTheme="majorEastAsia" w:cs="Arial"/>
                <w:sz w:val="20"/>
                <w:szCs w:val="20"/>
              </w:rPr>
            </w:pPr>
            <w:r w:rsidRPr="00E9435E">
              <w:rPr>
                <w:rFonts w:cs="Arial"/>
                <w:sz w:val="20"/>
                <w:szCs w:val="20"/>
              </w:rPr>
              <w:t>DEER Peak Demand Savings (through 12/31/2019)</w:t>
            </w:r>
          </w:p>
        </w:tc>
        <w:tc>
          <w:tcPr>
            <w:tcW w:w="7184" w:type="dxa"/>
          </w:tcPr>
          <w:p w14:paraId="25817F9A" w14:textId="77777777" w:rsidR="00EE0BDF" w:rsidRPr="00E9435E" w:rsidRDefault="00EB189D" w:rsidP="000328E0">
            <w:pPr>
              <w:rPr>
                <w:rFonts w:eastAsiaTheme="majorEastAsia" w:cs="Arial"/>
                <w:sz w:val="20"/>
                <w:szCs w:val="20"/>
              </w:rPr>
            </w:pPr>
            <w:r w:rsidRPr="00E9435E">
              <w:rPr>
                <w:rFonts w:cs="Arial"/>
                <w:sz w:val="20"/>
                <w:szCs w:val="20"/>
              </w:rPr>
              <w:t>The average demand impact, for an installed measure, as would be “seen” at the electric grid level, averaged over the nine hours, between 2 p.m. and 5 p.m., during the three-consecutive weekday period which contains the highest average temperature during the 12 p.m. to 6 p.m. period for those three days.</w:t>
            </w:r>
            <w:r w:rsidR="00EE0BDF" w:rsidRPr="00E9435E">
              <w:rPr>
                <w:rStyle w:val="FootnoteReference"/>
                <w:rFonts w:cs="Arial"/>
                <w:sz w:val="20"/>
                <w:szCs w:val="20"/>
              </w:rPr>
              <w:footnoteReference w:id="40"/>
            </w:r>
            <w:r w:rsidR="00EE0BDF" w:rsidRPr="00E9435E">
              <w:rPr>
                <w:rFonts w:cs="Arial"/>
                <w:sz w:val="20"/>
                <w:szCs w:val="20"/>
                <w:vertAlign w:val="superscript"/>
              </w:rPr>
              <w:t>,</w:t>
            </w:r>
            <w:r w:rsidR="00EE0BDF" w:rsidRPr="00E9435E">
              <w:rPr>
                <w:rStyle w:val="FootnoteReference"/>
                <w:rFonts w:cs="Arial"/>
                <w:sz w:val="20"/>
                <w:szCs w:val="20"/>
              </w:rPr>
              <w:footnoteReference w:id="41"/>
            </w:r>
          </w:p>
        </w:tc>
      </w:tr>
      <w:tr w:rsidR="00EB189D" w:rsidRPr="00E9435E" w14:paraId="4B4E1D05" w14:textId="77777777" w:rsidTr="762667E3">
        <w:trPr>
          <w:cantSplit/>
        </w:trPr>
        <w:tc>
          <w:tcPr>
            <w:tcW w:w="2464" w:type="dxa"/>
          </w:tcPr>
          <w:p w14:paraId="6D3BCF27" w14:textId="77777777" w:rsidR="00EB189D" w:rsidRPr="00E9435E" w:rsidRDefault="00EB189D" w:rsidP="000328E0">
            <w:pPr>
              <w:rPr>
                <w:rFonts w:cs="Arial"/>
                <w:sz w:val="20"/>
                <w:szCs w:val="20"/>
              </w:rPr>
            </w:pPr>
            <w:r w:rsidRPr="00E9435E">
              <w:rPr>
                <w:rFonts w:cs="Arial"/>
                <w:sz w:val="20"/>
                <w:szCs w:val="20"/>
              </w:rPr>
              <w:t>DEER Peak Demand Savings (after 1/1/2020)</w:t>
            </w:r>
          </w:p>
        </w:tc>
        <w:tc>
          <w:tcPr>
            <w:tcW w:w="7184" w:type="dxa"/>
          </w:tcPr>
          <w:p w14:paraId="2A870ED2" w14:textId="77777777" w:rsidR="00EB189D" w:rsidRPr="00B53B7B" w:rsidRDefault="00EB189D" w:rsidP="000328E0">
            <w:pPr>
              <w:rPr>
                <w:rFonts w:cs="Arial"/>
                <w:sz w:val="20"/>
                <w:szCs w:val="20"/>
              </w:rPr>
            </w:pPr>
            <w:r w:rsidRPr="00B53B7B">
              <w:rPr>
                <w:rFonts w:cs="Arial"/>
                <w:sz w:val="20"/>
                <w:szCs w:val="20"/>
              </w:rPr>
              <w:t>The average demand impact as would be “seen” at the electric grid level, averaged across 15 hours from 4 p.m. to 9 p.m. during the three-consecutive weekday period containing the highest algebraic sum of:</w:t>
            </w:r>
          </w:p>
          <w:p w14:paraId="1A504750" w14:textId="77777777" w:rsidR="00EB189D" w:rsidRPr="00B53B7B" w:rsidRDefault="00EB189D" w:rsidP="0087344F">
            <w:pPr>
              <w:pStyle w:val="ListParagraph"/>
              <w:numPr>
                <w:ilvl w:val="0"/>
                <w:numId w:val="8"/>
              </w:numPr>
              <w:rPr>
                <w:rFonts w:cs="Arial"/>
                <w:sz w:val="20"/>
                <w:szCs w:val="20"/>
              </w:rPr>
            </w:pPr>
            <w:r w:rsidRPr="00B53B7B">
              <w:rPr>
                <w:rFonts w:cs="Arial"/>
                <w:sz w:val="20"/>
                <w:szCs w:val="20"/>
              </w:rPr>
              <w:t>The average temperature over the three-day period,</w:t>
            </w:r>
          </w:p>
          <w:p w14:paraId="14CC844F" w14:textId="77777777" w:rsidR="00EB189D" w:rsidRPr="00B53B7B" w:rsidRDefault="00EB189D" w:rsidP="0087344F">
            <w:pPr>
              <w:pStyle w:val="ListParagraph"/>
              <w:numPr>
                <w:ilvl w:val="0"/>
                <w:numId w:val="8"/>
              </w:numPr>
              <w:rPr>
                <w:rFonts w:cs="Arial"/>
                <w:sz w:val="20"/>
                <w:szCs w:val="20"/>
              </w:rPr>
            </w:pPr>
            <w:r w:rsidRPr="00B53B7B">
              <w:rPr>
                <w:rFonts w:cs="Arial"/>
                <w:sz w:val="20"/>
                <w:szCs w:val="20"/>
              </w:rPr>
              <w:t>The average temperature from noon to 6 p.m. over the three-day period, and</w:t>
            </w:r>
          </w:p>
          <w:p w14:paraId="04FC7FAD" w14:textId="77777777" w:rsidR="00EB189D" w:rsidRPr="00E9435E" w:rsidRDefault="00EB189D" w:rsidP="0087344F">
            <w:pPr>
              <w:pStyle w:val="ListParagraph"/>
              <w:numPr>
                <w:ilvl w:val="0"/>
                <w:numId w:val="8"/>
              </w:numPr>
              <w:rPr>
                <w:rFonts w:cs="Arial"/>
                <w:sz w:val="20"/>
                <w:szCs w:val="20"/>
              </w:rPr>
            </w:pPr>
            <w:r w:rsidRPr="00E9435E">
              <w:rPr>
                <w:rFonts w:cs="Arial"/>
                <w:sz w:val="20"/>
                <w:szCs w:val="20"/>
              </w:rPr>
              <w:t>The peak temperature within the three-day period.</w:t>
            </w:r>
          </w:p>
          <w:p w14:paraId="65BAD36E" w14:textId="77777777" w:rsidR="00EB189D" w:rsidRPr="00E9435E" w:rsidRDefault="00EB189D" w:rsidP="000328E0">
            <w:pPr>
              <w:rPr>
                <w:rFonts w:cs="Arial"/>
                <w:sz w:val="20"/>
                <w:szCs w:val="20"/>
              </w:rPr>
            </w:pPr>
            <w:r w:rsidRPr="00E9435E">
              <w:rPr>
                <w:rFonts w:cs="Arial"/>
                <w:sz w:val="20"/>
                <w:szCs w:val="20"/>
              </w:rPr>
              <w:t>The Peak Period shall fall within the dates of June 1 through September 30, inclusive. The three Peak Period days shall not include a holiday. Holidays within this window of dates include July 4</w:t>
            </w:r>
            <w:r w:rsidRPr="00E9435E">
              <w:rPr>
                <w:rFonts w:cs="Arial"/>
                <w:sz w:val="20"/>
                <w:szCs w:val="20"/>
                <w:vertAlign w:val="superscript"/>
              </w:rPr>
              <w:t>th</w:t>
            </w:r>
            <w:r w:rsidRPr="00E9435E">
              <w:rPr>
                <w:rFonts w:cs="Arial"/>
                <w:sz w:val="20"/>
                <w:szCs w:val="20"/>
              </w:rPr>
              <w:t>, or the nearest weekday to July 4</w:t>
            </w:r>
            <w:r w:rsidRPr="00E9435E">
              <w:rPr>
                <w:rFonts w:cs="Arial"/>
                <w:sz w:val="20"/>
                <w:szCs w:val="20"/>
                <w:vertAlign w:val="superscript"/>
              </w:rPr>
              <w:t>th</w:t>
            </w:r>
            <w:r w:rsidRPr="00E9435E">
              <w:rPr>
                <w:rFonts w:cs="Arial"/>
                <w:sz w:val="20"/>
                <w:szCs w:val="20"/>
              </w:rPr>
              <w:t>, and Labor Day.</w:t>
            </w:r>
          </w:p>
        </w:tc>
      </w:tr>
      <w:tr w:rsidR="00EB189D" w:rsidRPr="00E9435E" w14:paraId="45B8F2C4" w14:textId="77777777" w:rsidTr="762667E3">
        <w:trPr>
          <w:cantSplit/>
        </w:trPr>
        <w:tc>
          <w:tcPr>
            <w:tcW w:w="2464" w:type="dxa"/>
          </w:tcPr>
          <w:p w14:paraId="55C30DF0" w14:textId="77777777" w:rsidR="00EB189D" w:rsidRPr="00E9435E" w:rsidRDefault="00EB189D" w:rsidP="000328E0">
            <w:pPr>
              <w:rPr>
                <w:rFonts w:cs="Arial"/>
                <w:sz w:val="20"/>
                <w:szCs w:val="20"/>
              </w:rPr>
            </w:pPr>
            <w:r w:rsidRPr="00E9435E">
              <w:rPr>
                <w:rFonts w:cs="Arial"/>
                <w:sz w:val="20"/>
                <w:szCs w:val="20"/>
              </w:rPr>
              <w:lastRenderedPageBreak/>
              <w:t>Dual Baseline</w:t>
            </w:r>
          </w:p>
        </w:tc>
        <w:tc>
          <w:tcPr>
            <w:tcW w:w="7184" w:type="dxa"/>
          </w:tcPr>
          <w:p w14:paraId="36FA91D2" w14:textId="77777777" w:rsidR="00EB189D" w:rsidRPr="00E9435E" w:rsidRDefault="00EB189D" w:rsidP="000328E0">
            <w:pPr>
              <w:rPr>
                <w:rFonts w:cs="Arial"/>
                <w:sz w:val="20"/>
                <w:szCs w:val="20"/>
              </w:rPr>
            </w:pPr>
            <w:r w:rsidRPr="00E9435E">
              <w:rPr>
                <w:rFonts w:cs="Arial"/>
                <w:sz w:val="20"/>
                <w:szCs w:val="20"/>
              </w:rPr>
              <w:t>Means that an existing baseline is used for the calculation of energy savings for the remaining useful life of the removed equipment. At the end of the remaining useful life (RUL), the customer would have needed to replace the failed equipment with equipment that reflected current energy efficiency standards and/or standard practices. This second baseline is used to calculate the [reduced] savings for the remainder of the effective useful life of the measure.</w:t>
            </w:r>
          </w:p>
        </w:tc>
      </w:tr>
      <w:tr w:rsidR="00EB189D" w:rsidRPr="00E9435E" w14:paraId="6E1F4DC9" w14:textId="77777777" w:rsidTr="762667E3">
        <w:trPr>
          <w:cantSplit/>
        </w:trPr>
        <w:tc>
          <w:tcPr>
            <w:tcW w:w="2464" w:type="dxa"/>
          </w:tcPr>
          <w:p w14:paraId="63461BFF" w14:textId="77777777" w:rsidR="00EB189D" w:rsidRPr="00E9435E" w:rsidRDefault="00EB189D" w:rsidP="000328E0">
            <w:pPr>
              <w:rPr>
                <w:rFonts w:cs="Arial"/>
                <w:sz w:val="20"/>
                <w:szCs w:val="20"/>
              </w:rPr>
            </w:pPr>
            <w:r w:rsidRPr="00E9435E">
              <w:rPr>
                <w:rFonts w:cs="Arial"/>
                <w:sz w:val="20"/>
                <w:szCs w:val="20"/>
              </w:rPr>
              <w:t>Early Retirement (ER)</w:t>
            </w:r>
          </w:p>
        </w:tc>
        <w:tc>
          <w:tcPr>
            <w:tcW w:w="7184" w:type="dxa"/>
          </w:tcPr>
          <w:p w14:paraId="13ACFAD4" w14:textId="77777777" w:rsidR="00EB189D" w:rsidRPr="00E9435E" w:rsidRDefault="00EB189D" w:rsidP="000328E0">
            <w:pPr>
              <w:rPr>
                <w:rFonts w:cs="Arial"/>
                <w:sz w:val="20"/>
                <w:szCs w:val="20"/>
              </w:rPr>
            </w:pPr>
            <w:r w:rsidRPr="00E9435E">
              <w:rPr>
                <w:rFonts w:cs="Arial"/>
                <w:sz w:val="20"/>
                <w:szCs w:val="20"/>
              </w:rPr>
              <w:t>See Measure Application Types.</w:t>
            </w:r>
          </w:p>
        </w:tc>
      </w:tr>
      <w:tr w:rsidR="00EB189D" w:rsidRPr="00E9435E" w14:paraId="7DCAA994" w14:textId="77777777" w:rsidTr="762667E3">
        <w:trPr>
          <w:cantSplit/>
        </w:trPr>
        <w:tc>
          <w:tcPr>
            <w:tcW w:w="2464" w:type="dxa"/>
          </w:tcPr>
          <w:p w14:paraId="41F80FC1" w14:textId="77777777" w:rsidR="00EB189D" w:rsidRPr="00E9435E" w:rsidRDefault="00EB189D" w:rsidP="000328E0">
            <w:pPr>
              <w:rPr>
                <w:rFonts w:cs="Arial"/>
                <w:sz w:val="20"/>
                <w:szCs w:val="20"/>
              </w:rPr>
            </w:pPr>
            <w:r w:rsidRPr="00E9435E">
              <w:rPr>
                <w:rFonts w:cs="Arial"/>
                <w:sz w:val="20"/>
                <w:szCs w:val="20"/>
              </w:rPr>
              <w:t>Effective Useful Life (EUL)</w:t>
            </w:r>
          </w:p>
        </w:tc>
        <w:tc>
          <w:tcPr>
            <w:tcW w:w="7184" w:type="dxa"/>
          </w:tcPr>
          <w:p w14:paraId="64814324" w14:textId="77777777" w:rsidR="00EB189D" w:rsidRPr="00E9435E" w:rsidRDefault="00EB189D" w:rsidP="000328E0">
            <w:pPr>
              <w:rPr>
                <w:rFonts w:cs="Arial"/>
                <w:sz w:val="20"/>
                <w:szCs w:val="20"/>
              </w:rPr>
            </w:pPr>
            <w:r w:rsidRPr="00E9435E">
              <w:rPr>
                <w:rFonts w:cs="Arial"/>
                <w:sz w:val="20"/>
                <w:szCs w:val="20"/>
              </w:rPr>
              <w:t>An estimate of the median number of years that the measures installed under the program are still in place and operable.</w:t>
            </w:r>
            <w:r w:rsidR="00EE0BDF" w:rsidRPr="00E9435E">
              <w:rPr>
                <w:rStyle w:val="FootnoteReference"/>
                <w:rFonts w:cs="Arial"/>
                <w:sz w:val="20"/>
                <w:szCs w:val="20"/>
              </w:rPr>
              <w:footnoteReference w:id="42"/>
            </w:r>
            <w:r w:rsidR="00EE0BDF" w:rsidRPr="00E9435E">
              <w:rPr>
                <w:rFonts w:cs="Arial"/>
                <w:sz w:val="20"/>
                <w:szCs w:val="20"/>
              </w:rPr>
              <w:t xml:space="preserve"> </w:t>
            </w:r>
          </w:p>
        </w:tc>
      </w:tr>
      <w:tr w:rsidR="00EB189D" w:rsidRPr="00E9435E" w14:paraId="707BF9E1" w14:textId="77777777" w:rsidTr="762667E3">
        <w:trPr>
          <w:cantSplit/>
        </w:trPr>
        <w:tc>
          <w:tcPr>
            <w:tcW w:w="2464" w:type="dxa"/>
          </w:tcPr>
          <w:p w14:paraId="5226DC07" w14:textId="77777777" w:rsidR="00EB189D" w:rsidRPr="00E9435E" w:rsidRDefault="00EB189D" w:rsidP="000328E0">
            <w:pPr>
              <w:rPr>
                <w:rFonts w:cs="Arial"/>
                <w:sz w:val="20"/>
                <w:szCs w:val="20"/>
              </w:rPr>
            </w:pPr>
            <w:r w:rsidRPr="00E9435E">
              <w:rPr>
                <w:rFonts w:cs="Arial"/>
                <w:sz w:val="20"/>
                <w:szCs w:val="20"/>
              </w:rPr>
              <w:t>Energy Efficiency (EE)</w:t>
            </w:r>
          </w:p>
        </w:tc>
        <w:tc>
          <w:tcPr>
            <w:tcW w:w="7184" w:type="dxa"/>
          </w:tcPr>
          <w:p w14:paraId="37D3D515" w14:textId="77777777" w:rsidR="00EE0BDF" w:rsidRPr="00E9435E" w:rsidRDefault="00EB189D" w:rsidP="000328E0">
            <w:pPr>
              <w:rPr>
                <w:rFonts w:cs="Arial"/>
                <w:sz w:val="20"/>
                <w:szCs w:val="20"/>
              </w:rPr>
            </w:pPr>
            <w:r w:rsidRPr="00E9435E">
              <w:rPr>
                <w:rFonts w:cs="Arial"/>
                <w:sz w:val="20"/>
                <w:szCs w:val="20"/>
              </w:rPr>
              <w:t>Activities or programs that influence customers to reduce energy use by making investments in more efficient equipment or controls, which reduce energy use while maintaining a comparable level of service.</w:t>
            </w:r>
            <w:r w:rsidR="00EE0BDF" w:rsidRPr="00E9435E">
              <w:rPr>
                <w:rStyle w:val="FootnoteReference"/>
                <w:rFonts w:cs="Arial"/>
                <w:sz w:val="20"/>
                <w:szCs w:val="20"/>
              </w:rPr>
              <w:footnoteReference w:id="43"/>
            </w:r>
          </w:p>
        </w:tc>
      </w:tr>
      <w:tr w:rsidR="00EB189D" w:rsidRPr="00E9435E" w14:paraId="6614FFA4" w14:textId="77777777" w:rsidTr="762667E3">
        <w:trPr>
          <w:cantSplit/>
        </w:trPr>
        <w:tc>
          <w:tcPr>
            <w:tcW w:w="2464" w:type="dxa"/>
          </w:tcPr>
          <w:p w14:paraId="5F2E2ED0" w14:textId="77777777" w:rsidR="00EB189D" w:rsidRPr="00E9435E" w:rsidRDefault="00EB189D" w:rsidP="000328E0">
            <w:pPr>
              <w:rPr>
                <w:rFonts w:cs="Arial"/>
                <w:sz w:val="20"/>
                <w:szCs w:val="20"/>
              </w:rPr>
            </w:pPr>
            <w:r w:rsidRPr="00E9435E">
              <w:rPr>
                <w:rFonts w:cs="Arial"/>
                <w:sz w:val="20"/>
                <w:szCs w:val="20"/>
              </w:rPr>
              <w:t xml:space="preserve">Energy Efficiency Measure or </w:t>
            </w:r>
            <w:r w:rsidRPr="00075BF7">
              <w:rPr>
                <w:rFonts w:cs="Arial"/>
                <w:sz w:val="20"/>
                <w:szCs w:val="20"/>
              </w:rPr>
              <w:t>Measure</w:t>
            </w:r>
          </w:p>
        </w:tc>
        <w:tc>
          <w:tcPr>
            <w:tcW w:w="7184" w:type="dxa"/>
          </w:tcPr>
          <w:p w14:paraId="09C6C7FE" w14:textId="77777777" w:rsidR="00EB189D" w:rsidRPr="00E9435E" w:rsidRDefault="00EB189D" w:rsidP="000328E0">
            <w:pPr>
              <w:rPr>
                <w:rFonts w:cs="Arial"/>
                <w:sz w:val="20"/>
                <w:szCs w:val="20"/>
              </w:rPr>
            </w:pPr>
            <w:r w:rsidRPr="00E9435E">
              <w:rPr>
                <w:rFonts w:cs="Arial"/>
                <w:sz w:val="20"/>
                <w:szCs w:val="20"/>
              </w:rPr>
              <w:t xml:space="preserve">Energy using equipment, control system, or practice whose installation and/or implementation results in a reduction of energy purchased from the distribution utility (while maintaining a comparable or higher level of a specific service or to accomplish a specific amount of work). </w:t>
            </w:r>
          </w:p>
          <w:p w14:paraId="6E473960" w14:textId="276A45BE" w:rsidR="00EB189D" w:rsidRPr="00E9435E" w:rsidRDefault="00EB189D" w:rsidP="000328E0">
            <w:pPr>
              <w:rPr>
                <w:rFonts w:cs="Arial"/>
                <w:sz w:val="20"/>
                <w:szCs w:val="20"/>
              </w:rPr>
            </w:pPr>
            <w:r w:rsidRPr="00075BF7">
              <w:rPr>
                <w:rFonts w:cs="Arial"/>
                <w:sz w:val="20"/>
                <w:szCs w:val="20"/>
              </w:rPr>
              <w:t>For purposes of these Rules, solar-powered, non-generating technologies are eligible energy efficiency measures.</w:t>
            </w:r>
            <w:r w:rsidRPr="00E9435E">
              <w:rPr>
                <w:rFonts w:cs="Arial"/>
                <w:sz w:val="20"/>
                <w:szCs w:val="20"/>
              </w:rPr>
              <w:t xml:space="preserve"> To be included in a program, the CPUC must approve the measure assumptions to be used to report savings. </w:t>
            </w:r>
          </w:p>
          <w:p w14:paraId="3D70FEAD" w14:textId="77777777" w:rsidR="00EE0BDF" w:rsidRPr="00E9435E" w:rsidRDefault="00EB189D" w:rsidP="000328E0">
            <w:pPr>
              <w:rPr>
                <w:rFonts w:cs="Arial"/>
                <w:sz w:val="20"/>
                <w:szCs w:val="20"/>
              </w:rPr>
            </w:pPr>
            <w:r w:rsidRPr="00E9435E">
              <w:rPr>
                <w:rFonts w:cs="Arial"/>
                <w:sz w:val="20"/>
                <w:szCs w:val="20"/>
              </w:rPr>
              <w:t>Also referred to simply as “measure”.</w:t>
            </w:r>
            <w:r w:rsidR="00EE0BDF" w:rsidRPr="00E9435E">
              <w:rPr>
                <w:rStyle w:val="FootnoteReference"/>
                <w:rFonts w:cs="Arial"/>
                <w:sz w:val="20"/>
                <w:szCs w:val="20"/>
              </w:rPr>
              <w:footnoteReference w:id="44"/>
            </w:r>
          </w:p>
        </w:tc>
      </w:tr>
      <w:tr w:rsidR="00EB189D" w:rsidRPr="00E9435E" w14:paraId="5EEB563C" w14:textId="77777777" w:rsidTr="762667E3">
        <w:trPr>
          <w:cantSplit/>
        </w:trPr>
        <w:tc>
          <w:tcPr>
            <w:tcW w:w="2464" w:type="dxa"/>
          </w:tcPr>
          <w:p w14:paraId="4EA01F41" w14:textId="77777777" w:rsidR="00EB189D" w:rsidRPr="00E9435E" w:rsidRDefault="00EB189D" w:rsidP="000328E0">
            <w:pPr>
              <w:rPr>
                <w:rFonts w:cs="Arial"/>
                <w:sz w:val="20"/>
                <w:szCs w:val="20"/>
              </w:rPr>
            </w:pPr>
            <w:r w:rsidRPr="00E9435E">
              <w:rPr>
                <w:rFonts w:cs="Arial"/>
                <w:sz w:val="20"/>
                <w:szCs w:val="20"/>
              </w:rPr>
              <w:t>Energy Efficiency Savings</w:t>
            </w:r>
          </w:p>
        </w:tc>
        <w:tc>
          <w:tcPr>
            <w:tcW w:w="7184" w:type="dxa"/>
          </w:tcPr>
          <w:p w14:paraId="6FDBD0EF" w14:textId="41C9F498" w:rsidR="00EB189D" w:rsidRPr="00E9435E" w:rsidRDefault="00EB189D" w:rsidP="000328E0">
            <w:pPr>
              <w:rPr>
                <w:rFonts w:cs="Arial"/>
                <w:sz w:val="20"/>
                <w:szCs w:val="20"/>
              </w:rPr>
            </w:pPr>
            <w:r w:rsidRPr="00E9435E">
              <w:rPr>
                <w:rFonts w:cs="Arial"/>
                <w:sz w:val="20"/>
                <w:szCs w:val="20"/>
              </w:rPr>
              <w:t>Energy efficiency measures may result in both energy savings (measured in kilowatt</w:t>
            </w:r>
            <w:r w:rsidR="00075BF7">
              <w:rPr>
                <w:rFonts w:cs="Arial"/>
                <w:sz w:val="20"/>
                <w:szCs w:val="20"/>
              </w:rPr>
              <w:t>-</w:t>
            </w:r>
            <w:r w:rsidRPr="00E9435E">
              <w:rPr>
                <w:rFonts w:cs="Arial"/>
                <w:sz w:val="20"/>
                <w:szCs w:val="20"/>
              </w:rPr>
              <w:t xml:space="preserve">hours or </w:t>
            </w:r>
            <w:proofErr w:type="spellStart"/>
            <w:r w:rsidR="002A12B2">
              <w:rPr>
                <w:rFonts w:cs="Arial"/>
                <w:sz w:val="20"/>
                <w:szCs w:val="20"/>
              </w:rPr>
              <w:t>Therm</w:t>
            </w:r>
            <w:proofErr w:type="spellEnd"/>
            <w:r w:rsidRPr="00E9435E">
              <w:rPr>
                <w:rFonts w:cs="Arial"/>
                <w:sz w:val="20"/>
                <w:szCs w:val="20"/>
              </w:rPr>
              <w:t>) and demand (measured in kilowatts). The term “energy savings” may be used to refer to both energy and demand reductions.</w:t>
            </w:r>
          </w:p>
        </w:tc>
      </w:tr>
      <w:tr w:rsidR="00EB189D" w:rsidRPr="00E9435E" w14:paraId="74B1E56D" w14:textId="77777777" w:rsidTr="762667E3">
        <w:trPr>
          <w:cantSplit/>
        </w:trPr>
        <w:tc>
          <w:tcPr>
            <w:tcW w:w="2464" w:type="dxa"/>
          </w:tcPr>
          <w:p w14:paraId="05582DEB" w14:textId="77777777" w:rsidR="00EB189D" w:rsidRPr="00E9435E" w:rsidRDefault="00EB189D" w:rsidP="000328E0">
            <w:pPr>
              <w:rPr>
                <w:rFonts w:cs="Arial"/>
                <w:sz w:val="20"/>
                <w:szCs w:val="20"/>
              </w:rPr>
            </w:pPr>
            <w:r w:rsidRPr="00E9435E">
              <w:rPr>
                <w:rFonts w:cs="Arial"/>
                <w:sz w:val="20"/>
                <w:szCs w:val="20"/>
              </w:rPr>
              <w:t>Energy Efficiency Project</w:t>
            </w:r>
          </w:p>
        </w:tc>
        <w:tc>
          <w:tcPr>
            <w:tcW w:w="7184" w:type="dxa"/>
          </w:tcPr>
          <w:p w14:paraId="22E635FD" w14:textId="77777777" w:rsidR="00EB189D" w:rsidRPr="00E9435E" w:rsidRDefault="00EB189D" w:rsidP="000328E0">
            <w:pPr>
              <w:rPr>
                <w:rFonts w:cs="Arial"/>
                <w:sz w:val="20"/>
                <w:szCs w:val="20"/>
              </w:rPr>
            </w:pPr>
            <w:r w:rsidRPr="00E9435E">
              <w:rPr>
                <w:rFonts w:cs="Arial"/>
                <w:sz w:val="20"/>
                <w:szCs w:val="20"/>
              </w:rPr>
              <w:t>Implementation of an EE measure or group of measures at essentially one time, through a single incentive application.</w:t>
            </w:r>
          </w:p>
        </w:tc>
      </w:tr>
      <w:tr w:rsidR="00EB189D" w:rsidRPr="00E9435E" w14:paraId="27908DA1" w14:textId="77777777" w:rsidTr="762667E3">
        <w:trPr>
          <w:cantSplit/>
        </w:trPr>
        <w:tc>
          <w:tcPr>
            <w:tcW w:w="2464" w:type="dxa"/>
          </w:tcPr>
          <w:p w14:paraId="260080A3" w14:textId="77777777" w:rsidR="00EB189D" w:rsidRPr="00E9435E" w:rsidRDefault="00EB189D" w:rsidP="000328E0">
            <w:pPr>
              <w:rPr>
                <w:rFonts w:cs="Arial"/>
                <w:sz w:val="20"/>
                <w:szCs w:val="20"/>
              </w:rPr>
            </w:pPr>
            <w:r w:rsidRPr="00E9435E">
              <w:rPr>
                <w:rFonts w:cs="Arial"/>
                <w:sz w:val="20"/>
                <w:szCs w:val="20"/>
              </w:rPr>
              <w:t>Fuel Substitution</w:t>
            </w:r>
          </w:p>
        </w:tc>
        <w:tc>
          <w:tcPr>
            <w:tcW w:w="7184" w:type="dxa"/>
          </w:tcPr>
          <w:p w14:paraId="7C53A70E" w14:textId="6CDA2EC7" w:rsidR="00EE0BDF" w:rsidRPr="00E9435E" w:rsidRDefault="00EB189D" w:rsidP="000328E0">
            <w:pPr>
              <w:rPr>
                <w:rFonts w:cs="Arial"/>
                <w:sz w:val="20"/>
                <w:szCs w:val="20"/>
              </w:rPr>
            </w:pPr>
            <w:r w:rsidRPr="00E9435E">
              <w:rPr>
                <w:rFonts w:cs="Arial"/>
                <w:sz w:val="20"/>
                <w:szCs w:val="20"/>
              </w:rPr>
              <w:t>Programs</w:t>
            </w:r>
            <w:r w:rsidR="00C979B6" w:rsidRPr="00E9435E">
              <w:rPr>
                <w:rFonts w:cs="Arial"/>
                <w:sz w:val="20"/>
                <w:szCs w:val="20"/>
              </w:rPr>
              <w:t>/measures</w:t>
            </w:r>
            <w:r w:rsidRPr="00E9435E">
              <w:rPr>
                <w:rFonts w:cs="Arial"/>
                <w:sz w:val="20"/>
                <w:szCs w:val="20"/>
              </w:rPr>
              <w:t xml:space="preserve"> which are intended to substitute energy using equipment of one energy source with a competing energy source (e.g. switch from electric resistance heating to gas furnaces).</w:t>
            </w:r>
            <w:r w:rsidR="00EE0BDF" w:rsidRPr="00E9435E">
              <w:rPr>
                <w:rStyle w:val="FootnoteReference"/>
                <w:sz w:val="20"/>
                <w:szCs w:val="20"/>
              </w:rPr>
              <w:footnoteReference w:id="45"/>
            </w:r>
          </w:p>
        </w:tc>
      </w:tr>
      <w:tr w:rsidR="00C7179E" w:rsidRPr="00E9435E" w14:paraId="6CE4BCAB" w14:textId="77777777" w:rsidTr="762667E3">
        <w:trPr>
          <w:cantSplit/>
        </w:trPr>
        <w:tc>
          <w:tcPr>
            <w:tcW w:w="2464" w:type="dxa"/>
          </w:tcPr>
          <w:p w14:paraId="5927CA16" w14:textId="1753AB83" w:rsidR="00C7179E" w:rsidRPr="00E9435E" w:rsidRDefault="00C7179E" w:rsidP="000328E0">
            <w:pPr>
              <w:rPr>
                <w:rFonts w:cs="Arial"/>
                <w:sz w:val="20"/>
                <w:szCs w:val="20"/>
              </w:rPr>
            </w:pPr>
            <w:r>
              <w:rPr>
                <w:rFonts w:cs="Arial"/>
                <w:sz w:val="20"/>
                <w:szCs w:val="20"/>
              </w:rPr>
              <w:t xml:space="preserve">Full Energy Savings </w:t>
            </w:r>
          </w:p>
        </w:tc>
        <w:tc>
          <w:tcPr>
            <w:tcW w:w="7184" w:type="dxa"/>
          </w:tcPr>
          <w:p w14:paraId="66808E6C" w14:textId="46EDCB9E" w:rsidR="006136D7" w:rsidRPr="00E9435E" w:rsidRDefault="002A40AB">
            <w:pPr>
              <w:rPr>
                <w:rFonts w:cs="Arial"/>
                <w:sz w:val="20"/>
                <w:szCs w:val="20"/>
              </w:rPr>
            </w:pPr>
            <w:r>
              <w:rPr>
                <w:rFonts w:cs="Arial"/>
                <w:sz w:val="20"/>
                <w:szCs w:val="20"/>
              </w:rPr>
              <w:t xml:space="preserve">For fuel substitution measures energy savings </w:t>
            </w:r>
            <w:r w:rsidR="00964DC0">
              <w:rPr>
                <w:rFonts w:cs="Arial"/>
                <w:sz w:val="20"/>
                <w:szCs w:val="20"/>
              </w:rPr>
              <w:t xml:space="preserve">will include two fuels, increased energy usage of new fuel and </w:t>
            </w:r>
            <w:r w:rsidR="00CE0911">
              <w:rPr>
                <w:rFonts w:cs="Arial"/>
                <w:sz w:val="20"/>
                <w:szCs w:val="20"/>
              </w:rPr>
              <w:t xml:space="preserve">reduced energy usage of original fuel. </w:t>
            </w:r>
            <w:r w:rsidR="003D1A1A">
              <w:rPr>
                <w:rFonts w:cs="Arial"/>
                <w:sz w:val="20"/>
                <w:szCs w:val="20"/>
              </w:rPr>
              <w:t>The</w:t>
            </w:r>
            <w:r w:rsidR="00FD4C80">
              <w:rPr>
                <w:rFonts w:cs="Arial"/>
                <w:sz w:val="20"/>
                <w:szCs w:val="20"/>
              </w:rPr>
              <w:t>se</w:t>
            </w:r>
            <w:r w:rsidR="003D1A1A">
              <w:rPr>
                <w:rFonts w:cs="Arial"/>
                <w:sz w:val="20"/>
                <w:szCs w:val="20"/>
              </w:rPr>
              <w:t xml:space="preserve"> energy savings converted into the new fuel units using the </w:t>
            </w:r>
            <w:r w:rsidR="00607A5C" w:rsidRPr="00B53B7B">
              <w:rPr>
                <w:rFonts w:cs="Arial"/>
                <w:sz w:val="20"/>
                <w:szCs w:val="20"/>
              </w:rPr>
              <w:t xml:space="preserve">conversion factors (1 </w:t>
            </w:r>
            <w:proofErr w:type="spellStart"/>
            <w:r w:rsidR="00607A5C" w:rsidRPr="00B53B7B">
              <w:rPr>
                <w:rFonts w:cs="Arial"/>
                <w:sz w:val="20"/>
                <w:szCs w:val="20"/>
              </w:rPr>
              <w:t>therm</w:t>
            </w:r>
            <w:proofErr w:type="spellEnd"/>
            <w:r w:rsidR="00607A5C" w:rsidRPr="00B53B7B">
              <w:rPr>
                <w:rFonts w:cs="Arial"/>
                <w:sz w:val="20"/>
                <w:szCs w:val="20"/>
              </w:rPr>
              <w:t xml:space="preserve"> = 29.3 kWh and 1 kWh = 0.03413 </w:t>
            </w:r>
            <w:proofErr w:type="spellStart"/>
            <w:r w:rsidR="00607A5C" w:rsidRPr="00B53B7B">
              <w:rPr>
                <w:rFonts w:cs="Arial"/>
                <w:sz w:val="20"/>
                <w:szCs w:val="20"/>
              </w:rPr>
              <w:t>therm</w:t>
            </w:r>
            <w:proofErr w:type="spellEnd"/>
            <w:r w:rsidR="00607A5C" w:rsidRPr="00B53B7B">
              <w:rPr>
                <w:rFonts w:cs="Arial"/>
                <w:sz w:val="20"/>
                <w:szCs w:val="20"/>
              </w:rPr>
              <w:t>)</w:t>
            </w:r>
            <w:r w:rsidR="00FD4C80">
              <w:rPr>
                <w:rFonts w:cs="Arial"/>
                <w:sz w:val="20"/>
                <w:szCs w:val="20"/>
              </w:rPr>
              <w:t xml:space="preserve"> are defined as full energy s</w:t>
            </w:r>
            <w:r w:rsidR="00F532E1">
              <w:rPr>
                <w:rFonts w:cs="Arial"/>
                <w:sz w:val="20"/>
                <w:szCs w:val="20"/>
              </w:rPr>
              <w:t xml:space="preserve">avings. </w:t>
            </w:r>
          </w:p>
        </w:tc>
      </w:tr>
      <w:tr w:rsidR="00EB189D" w:rsidRPr="00E9435E" w14:paraId="4F5B586F" w14:textId="77777777" w:rsidTr="762667E3">
        <w:trPr>
          <w:cantSplit/>
        </w:trPr>
        <w:tc>
          <w:tcPr>
            <w:tcW w:w="2464" w:type="dxa"/>
          </w:tcPr>
          <w:p w14:paraId="2F0A0DFA" w14:textId="77777777" w:rsidR="00EB189D" w:rsidRPr="00B53B7B" w:rsidRDefault="00EB189D" w:rsidP="000328E0">
            <w:pPr>
              <w:rPr>
                <w:rFonts w:eastAsiaTheme="majorEastAsia" w:cs="Arial"/>
                <w:sz w:val="20"/>
                <w:szCs w:val="20"/>
              </w:rPr>
            </w:pPr>
            <w:r w:rsidRPr="00B53B7B">
              <w:rPr>
                <w:rFonts w:cs="Arial"/>
                <w:sz w:val="20"/>
                <w:szCs w:val="20"/>
              </w:rPr>
              <w:lastRenderedPageBreak/>
              <w:t>Full Measure Cost (FMC)</w:t>
            </w:r>
          </w:p>
        </w:tc>
        <w:tc>
          <w:tcPr>
            <w:tcW w:w="7184" w:type="dxa"/>
          </w:tcPr>
          <w:p w14:paraId="2FC6F20F" w14:textId="77777777" w:rsidR="00EB189D" w:rsidRPr="00B53B7B" w:rsidRDefault="00EB189D" w:rsidP="000328E0">
            <w:pPr>
              <w:rPr>
                <w:rFonts w:cs="Arial"/>
                <w:sz w:val="20"/>
                <w:szCs w:val="20"/>
              </w:rPr>
            </w:pPr>
            <w:r w:rsidRPr="00B53B7B">
              <w:rPr>
                <w:rFonts w:cs="Arial"/>
                <w:sz w:val="20"/>
                <w:szCs w:val="20"/>
              </w:rPr>
              <w:t xml:space="preserve">The total cost of the EE measure which may </w:t>
            </w:r>
            <w:proofErr w:type="gramStart"/>
            <w:r w:rsidRPr="00B53B7B">
              <w:rPr>
                <w:rFonts w:cs="Arial"/>
                <w:sz w:val="20"/>
                <w:szCs w:val="20"/>
              </w:rPr>
              <w:t>include:</w:t>
            </w:r>
            <w:proofErr w:type="gramEnd"/>
            <w:r w:rsidRPr="00B53B7B">
              <w:rPr>
                <w:rFonts w:cs="Arial"/>
                <w:sz w:val="20"/>
                <w:szCs w:val="20"/>
              </w:rPr>
              <w:t xml:space="preserve"> audits, design, engineering, construction, equipment, materials, removal, recycling, overhead, sales tax, shipping, and labor directly related to the energy efficiency attributes of the measure. Product or feature choices not directly related to EE should be removed. </w:t>
            </w:r>
          </w:p>
          <w:p w14:paraId="7E40F2CD" w14:textId="77777777" w:rsidR="00EB189D" w:rsidRPr="00B53B7B" w:rsidRDefault="00EB189D" w:rsidP="000328E0">
            <w:pPr>
              <w:rPr>
                <w:rFonts w:cs="Arial"/>
                <w:sz w:val="20"/>
                <w:szCs w:val="20"/>
              </w:rPr>
            </w:pPr>
          </w:p>
          <w:p w14:paraId="1CAF9C02" w14:textId="77777777" w:rsidR="00EE0BDF" w:rsidRPr="00B53B7B" w:rsidRDefault="00EB189D" w:rsidP="000328E0">
            <w:pPr>
              <w:rPr>
                <w:rFonts w:cs="Arial"/>
                <w:sz w:val="20"/>
                <w:szCs w:val="20"/>
              </w:rPr>
            </w:pPr>
            <w:r w:rsidRPr="00B53B7B">
              <w:rPr>
                <w:rFonts w:cs="Arial"/>
                <w:sz w:val="20"/>
                <w:szCs w:val="20"/>
              </w:rPr>
              <w:t xml:space="preserve">Labor cost can be contractor or in-house if proof of direct project hours and costs are provided. Invoices should include the make, model, unit price, and quantity of equipment, the vendor name and address, the customer’s name and address, the invoice number, the date of sale, and the total cost. </w:t>
            </w:r>
            <w:r w:rsidR="00EE0BDF" w:rsidRPr="00B53B7B">
              <w:rPr>
                <w:rStyle w:val="FootnoteReference"/>
                <w:rFonts w:cs="Arial"/>
                <w:sz w:val="20"/>
                <w:szCs w:val="20"/>
              </w:rPr>
              <w:footnoteReference w:id="46"/>
            </w:r>
          </w:p>
          <w:p w14:paraId="7072EF2D" w14:textId="77777777" w:rsidR="00EB189D" w:rsidRPr="00B53B7B" w:rsidRDefault="00EB189D" w:rsidP="000328E0">
            <w:pPr>
              <w:rPr>
                <w:rFonts w:cs="Arial"/>
                <w:sz w:val="20"/>
                <w:szCs w:val="20"/>
              </w:rPr>
            </w:pPr>
          </w:p>
          <w:p w14:paraId="044E82B8" w14:textId="77777777" w:rsidR="00EB189D" w:rsidRPr="00B53B7B" w:rsidRDefault="00EB189D" w:rsidP="000328E0">
            <w:pPr>
              <w:rPr>
                <w:rFonts w:eastAsiaTheme="majorEastAsia" w:cs="Arial"/>
                <w:sz w:val="20"/>
                <w:szCs w:val="20"/>
              </w:rPr>
            </w:pPr>
            <w:r w:rsidRPr="00B53B7B">
              <w:rPr>
                <w:rFonts w:eastAsiaTheme="majorEastAsia" w:cs="Arial"/>
                <w:sz w:val="20"/>
                <w:szCs w:val="20"/>
              </w:rPr>
              <w:t xml:space="preserve">Participant costs include: </w:t>
            </w:r>
          </w:p>
          <w:p w14:paraId="52F97993" w14:textId="77777777" w:rsidR="00EB189D" w:rsidRPr="00B53B7B" w:rsidRDefault="00EB189D" w:rsidP="0087344F">
            <w:pPr>
              <w:pStyle w:val="ListParagraph"/>
              <w:numPr>
                <w:ilvl w:val="0"/>
                <w:numId w:val="3"/>
              </w:numPr>
              <w:ind w:left="413" w:hanging="360"/>
              <w:rPr>
                <w:rFonts w:cs="Arial"/>
                <w:sz w:val="20"/>
                <w:szCs w:val="20"/>
              </w:rPr>
            </w:pPr>
            <w:r w:rsidRPr="00B53B7B">
              <w:rPr>
                <w:rFonts w:cs="Arial"/>
                <w:sz w:val="20"/>
                <w:szCs w:val="20"/>
              </w:rPr>
              <w:t>Initial capital costs, including sales tax</w:t>
            </w:r>
          </w:p>
          <w:p w14:paraId="47B9E71A" w14:textId="77777777" w:rsidR="00EB189D" w:rsidRPr="00B53B7B" w:rsidRDefault="00EB189D" w:rsidP="0087344F">
            <w:pPr>
              <w:pStyle w:val="ListParagraph"/>
              <w:numPr>
                <w:ilvl w:val="0"/>
                <w:numId w:val="3"/>
              </w:numPr>
              <w:ind w:left="413" w:hanging="360"/>
              <w:rPr>
                <w:rFonts w:cs="Arial"/>
                <w:sz w:val="20"/>
                <w:szCs w:val="20"/>
              </w:rPr>
            </w:pPr>
            <w:r w:rsidRPr="00B53B7B">
              <w:rPr>
                <w:rFonts w:cs="Arial"/>
                <w:sz w:val="20"/>
                <w:szCs w:val="20"/>
              </w:rPr>
              <w:t xml:space="preserve">Ongoing operation and maintenance costs include fuel cost </w:t>
            </w:r>
          </w:p>
          <w:p w14:paraId="41E39D19" w14:textId="77777777" w:rsidR="00EB189D" w:rsidRPr="00B53B7B" w:rsidRDefault="00EB189D" w:rsidP="0087344F">
            <w:pPr>
              <w:pStyle w:val="ListParagraph"/>
              <w:numPr>
                <w:ilvl w:val="0"/>
                <w:numId w:val="3"/>
              </w:numPr>
              <w:ind w:left="413" w:hanging="360"/>
              <w:rPr>
                <w:rFonts w:cs="Arial"/>
                <w:sz w:val="20"/>
                <w:szCs w:val="20"/>
              </w:rPr>
            </w:pPr>
            <w:r w:rsidRPr="00B53B7B">
              <w:rPr>
                <w:rFonts w:cs="Arial"/>
                <w:sz w:val="20"/>
                <w:szCs w:val="20"/>
              </w:rPr>
              <w:t xml:space="preserve">Removal costs, less salvage value </w:t>
            </w:r>
          </w:p>
          <w:p w14:paraId="540E9AF4" w14:textId="7A35E8F3" w:rsidR="00EB189D" w:rsidRPr="00B53B7B" w:rsidRDefault="00EB189D" w:rsidP="0087344F">
            <w:pPr>
              <w:pStyle w:val="ListParagraph"/>
              <w:numPr>
                <w:ilvl w:val="0"/>
                <w:numId w:val="3"/>
              </w:numPr>
              <w:ind w:left="413" w:hanging="360"/>
              <w:rPr>
                <w:rFonts w:eastAsiaTheme="majorEastAsia" w:cs="Arial"/>
                <w:sz w:val="20"/>
                <w:szCs w:val="20"/>
              </w:rPr>
            </w:pPr>
            <w:r w:rsidRPr="00B53B7B">
              <w:rPr>
                <w:rFonts w:cs="Arial"/>
                <w:sz w:val="20"/>
                <w:szCs w:val="20"/>
              </w:rPr>
              <w:t>Value of the customer</w:t>
            </w:r>
            <w:r w:rsidR="000C32C9" w:rsidRPr="00B53B7B">
              <w:rPr>
                <w:rFonts w:cs="Arial"/>
                <w:sz w:val="20"/>
                <w:szCs w:val="20"/>
              </w:rPr>
              <w:t>’</w:t>
            </w:r>
            <w:r w:rsidRPr="00B53B7B">
              <w:rPr>
                <w:rFonts w:cs="Arial"/>
                <w:sz w:val="20"/>
                <w:szCs w:val="20"/>
              </w:rPr>
              <w:t>s time in arranging for installation, if significant.</w:t>
            </w:r>
          </w:p>
        </w:tc>
      </w:tr>
      <w:tr w:rsidR="00EB189D" w:rsidRPr="00E9435E" w14:paraId="1D187F9B" w14:textId="77777777" w:rsidTr="762667E3">
        <w:trPr>
          <w:cantSplit/>
        </w:trPr>
        <w:tc>
          <w:tcPr>
            <w:tcW w:w="2464" w:type="dxa"/>
          </w:tcPr>
          <w:p w14:paraId="2C2933D2" w14:textId="77777777" w:rsidR="00EB189D" w:rsidRPr="00E9435E" w:rsidRDefault="00EB189D" w:rsidP="000328E0">
            <w:pPr>
              <w:rPr>
                <w:rFonts w:cs="Arial"/>
                <w:sz w:val="20"/>
                <w:szCs w:val="20"/>
              </w:rPr>
            </w:pPr>
            <w:r w:rsidRPr="00E9435E">
              <w:rPr>
                <w:rFonts w:cs="Arial"/>
                <w:sz w:val="20"/>
                <w:szCs w:val="20"/>
              </w:rPr>
              <w:t>Gross Savings</w:t>
            </w:r>
          </w:p>
        </w:tc>
        <w:tc>
          <w:tcPr>
            <w:tcW w:w="7184" w:type="dxa"/>
          </w:tcPr>
          <w:p w14:paraId="43B5C81F" w14:textId="77777777" w:rsidR="00EB189D" w:rsidRPr="00E9435E" w:rsidRDefault="00EB189D" w:rsidP="000328E0">
            <w:pPr>
              <w:rPr>
                <w:rFonts w:cs="Arial"/>
                <w:sz w:val="20"/>
                <w:szCs w:val="20"/>
              </w:rPr>
            </w:pPr>
            <w:r w:rsidRPr="00E9435E">
              <w:rPr>
                <w:rFonts w:cs="Arial"/>
                <w:sz w:val="20"/>
                <w:szCs w:val="20"/>
              </w:rPr>
              <w:t xml:space="preserve">Gross savings count the energy savings from energy efficiency measures installed by program participants irrespective of </w:t>
            </w:r>
            <w:proofErr w:type="gramStart"/>
            <w:r w:rsidRPr="00E9435E">
              <w:rPr>
                <w:rFonts w:cs="Arial"/>
                <w:sz w:val="20"/>
                <w:szCs w:val="20"/>
              </w:rPr>
              <w:t>whether or not</w:t>
            </w:r>
            <w:proofErr w:type="gramEnd"/>
            <w:r w:rsidRPr="00E9435E">
              <w:rPr>
                <w:rFonts w:cs="Arial"/>
                <w:sz w:val="20"/>
                <w:szCs w:val="20"/>
              </w:rPr>
              <w:t xml:space="preserve"> those savings are from free riders. Gross savings are adjusted by a net-to-gross ratio to produce net savings (that is, to remove the savings associated with free riders).</w:t>
            </w:r>
            <w:r w:rsidR="00EE0BDF" w:rsidRPr="00E9435E">
              <w:rPr>
                <w:rStyle w:val="FootnoteReference"/>
                <w:rFonts w:cs="Arial"/>
                <w:sz w:val="20"/>
                <w:szCs w:val="20"/>
              </w:rPr>
              <w:footnoteReference w:id="47"/>
            </w:r>
            <w:r w:rsidR="00EE0BDF" w:rsidRPr="00E9435E">
              <w:rPr>
                <w:rFonts w:cs="Arial"/>
                <w:sz w:val="20"/>
                <w:szCs w:val="20"/>
              </w:rPr>
              <w:t xml:space="preserve"> </w:t>
            </w:r>
            <w:r w:rsidRPr="00E9435E">
              <w:rPr>
                <w:rFonts w:cs="Arial"/>
                <w:sz w:val="20"/>
                <w:szCs w:val="20"/>
              </w:rPr>
              <w:t>It should be noted that Gross Savings do include adjustments for Realization and Installation Rates. (See also GSIA.)</w:t>
            </w:r>
          </w:p>
        </w:tc>
      </w:tr>
      <w:tr w:rsidR="00EB189D" w:rsidRPr="00E9435E" w14:paraId="3D87001F" w14:textId="77777777" w:rsidTr="762667E3">
        <w:trPr>
          <w:cantSplit/>
        </w:trPr>
        <w:tc>
          <w:tcPr>
            <w:tcW w:w="2464" w:type="dxa"/>
          </w:tcPr>
          <w:p w14:paraId="58F05216" w14:textId="77777777" w:rsidR="00EB189D" w:rsidRPr="00E9435E" w:rsidRDefault="00EB189D" w:rsidP="000328E0">
            <w:pPr>
              <w:rPr>
                <w:rFonts w:eastAsiaTheme="majorEastAsia" w:cs="Arial"/>
                <w:sz w:val="20"/>
                <w:szCs w:val="20"/>
              </w:rPr>
            </w:pPr>
            <w:r w:rsidRPr="00E9435E">
              <w:rPr>
                <w:rFonts w:cs="Arial"/>
                <w:sz w:val="20"/>
                <w:szCs w:val="20"/>
              </w:rPr>
              <w:t>Incremental Measure Cost</w:t>
            </w:r>
          </w:p>
        </w:tc>
        <w:tc>
          <w:tcPr>
            <w:tcW w:w="7184" w:type="dxa"/>
          </w:tcPr>
          <w:p w14:paraId="168A0304" w14:textId="77777777" w:rsidR="00EE0BDF" w:rsidRPr="00E9435E" w:rsidRDefault="00EB189D" w:rsidP="000328E0">
            <w:pPr>
              <w:rPr>
                <w:rFonts w:eastAsiaTheme="majorEastAsia" w:cs="Arial"/>
                <w:sz w:val="20"/>
                <w:szCs w:val="20"/>
              </w:rPr>
            </w:pPr>
            <w:r w:rsidRPr="00E9435E">
              <w:rPr>
                <w:rFonts w:cs="Arial"/>
                <w:sz w:val="20"/>
                <w:szCs w:val="20"/>
              </w:rPr>
              <w:t>The additional cost of installing a more efficient measure calculated from the price differential between energy efficient equipment and services and standard or baseline equipment or services. Note that any cost premium resulting from features or components that do not improve the efficiency of the equipment is excluded from the incremental measure cost calculation.</w:t>
            </w:r>
            <w:r w:rsidR="00EE0BDF" w:rsidRPr="00E9435E">
              <w:rPr>
                <w:rStyle w:val="FootnoteReference"/>
                <w:rFonts w:cs="Arial"/>
                <w:sz w:val="20"/>
                <w:szCs w:val="20"/>
              </w:rPr>
              <w:footnoteReference w:id="48"/>
            </w:r>
          </w:p>
        </w:tc>
      </w:tr>
      <w:tr w:rsidR="00EB189D" w:rsidRPr="00E9435E" w14:paraId="57FA0D83" w14:textId="77777777" w:rsidTr="762667E3">
        <w:trPr>
          <w:cantSplit/>
        </w:trPr>
        <w:tc>
          <w:tcPr>
            <w:tcW w:w="2464" w:type="dxa"/>
          </w:tcPr>
          <w:p w14:paraId="49B6EB15" w14:textId="77777777" w:rsidR="00EB189D" w:rsidRPr="00E9435E" w:rsidRDefault="00EB189D" w:rsidP="000328E0">
            <w:pPr>
              <w:rPr>
                <w:rFonts w:cs="Arial"/>
                <w:sz w:val="20"/>
                <w:szCs w:val="20"/>
              </w:rPr>
            </w:pPr>
            <w:r w:rsidRPr="00E9435E">
              <w:rPr>
                <w:rFonts w:cs="Arial"/>
                <w:sz w:val="20"/>
                <w:szCs w:val="20"/>
              </w:rPr>
              <w:t>Industry Standard Practice (ISP)</w:t>
            </w:r>
          </w:p>
        </w:tc>
        <w:tc>
          <w:tcPr>
            <w:tcW w:w="7184" w:type="dxa"/>
          </w:tcPr>
          <w:p w14:paraId="09656DD5" w14:textId="77777777" w:rsidR="00EB189D" w:rsidRPr="00E9435E" w:rsidRDefault="00EB189D" w:rsidP="000328E0">
            <w:pPr>
              <w:rPr>
                <w:sz w:val="20"/>
              </w:rPr>
            </w:pPr>
            <w:r w:rsidRPr="00E9435E">
              <w:rPr>
                <w:sz w:val="20"/>
              </w:rPr>
              <w:t xml:space="preserve">A measure or practice that represents the typical current equipment purchased, or a commonly used, currently trending practice in the applicable markets absent the program. ISP represents today’s market trend, i.e., whether a technology would be commonly purchased by customers today (not in situ or saturation), with consideration of key factors or barriers driving the technology adoption. The practice is considered “ISP-by-code” when the selection and adoption of that specific measure or practice is required to meet government standards, codes or regulations (including non-energy regulations). The practice is considered “ISP-by-default” when the selected measure is the only viable option considered by customer. </w:t>
            </w:r>
            <w:r w:rsidRPr="00E9435E">
              <w:rPr>
                <w:i/>
                <w:sz w:val="20"/>
              </w:rPr>
              <w:t>See</w:t>
            </w:r>
            <w:r w:rsidRPr="00E9435E">
              <w:rPr>
                <w:sz w:val="20"/>
              </w:rPr>
              <w:t xml:space="preserve"> Standard Practice.</w:t>
            </w:r>
          </w:p>
          <w:p w14:paraId="133338C2" w14:textId="77777777" w:rsidR="00EB189D" w:rsidRPr="00E9435E" w:rsidRDefault="00EB189D" w:rsidP="000328E0">
            <w:pPr>
              <w:rPr>
                <w:sz w:val="20"/>
              </w:rPr>
            </w:pPr>
          </w:p>
          <w:p w14:paraId="2F151CAE" w14:textId="77777777" w:rsidR="00EB189D" w:rsidRPr="00E9435E" w:rsidRDefault="00EB189D" w:rsidP="000328E0">
            <w:pPr>
              <w:rPr>
                <w:sz w:val="20"/>
              </w:rPr>
            </w:pPr>
            <w:r w:rsidRPr="00E9435E">
              <w:rPr>
                <w:sz w:val="20"/>
              </w:rPr>
              <w:t>In addition, an ISP can be a method or technique that has been generally accepted as superior to any alternatives because it produces results that are superior to those achieved by other means or because it has become a customer’s standard way of doing things (e.g., a standard way of complying with legal or ethical requirements, or a customer’s preference for the best product with superior efficiency in customized design). This is generally applicable to custom measures and projects.</w:t>
            </w:r>
          </w:p>
        </w:tc>
      </w:tr>
      <w:tr w:rsidR="00A26ADE" w:rsidRPr="00E9435E" w14:paraId="3EDE428A" w14:textId="77777777" w:rsidTr="762667E3">
        <w:trPr>
          <w:cantSplit/>
        </w:trPr>
        <w:tc>
          <w:tcPr>
            <w:tcW w:w="2464" w:type="dxa"/>
          </w:tcPr>
          <w:p w14:paraId="0ED32EB5" w14:textId="49141ECA" w:rsidR="00A26ADE" w:rsidRPr="00E9435E" w:rsidRDefault="00A26ADE" w:rsidP="00A26ADE">
            <w:pPr>
              <w:rPr>
                <w:rFonts w:cs="Arial"/>
                <w:sz w:val="20"/>
                <w:szCs w:val="20"/>
              </w:rPr>
            </w:pPr>
            <w:r w:rsidRPr="00E9435E">
              <w:rPr>
                <w:rFonts w:cs="Arial"/>
                <w:sz w:val="20"/>
                <w:szCs w:val="20"/>
              </w:rPr>
              <w:t>Life-cycle Source BTU Consumption</w:t>
            </w:r>
          </w:p>
        </w:tc>
        <w:tc>
          <w:tcPr>
            <w:tcW w:w="7184" w:type="dxa"/>
          </w:tcPr>
          <w:p w14:paraId="56B37D64" w14:textId="23EE067F" w:rsidR="00A26ADE" w:rsidRPr="00E9435E" w:rsidRDefault="00A26ADE" w:rsidP="00A26ADE">
            <w:pPr>
              <w:rPr>
                <w:sz w:val="20"/>
              </w:rPr>
            </w:pPr>
            <w:r w:rsidRPr="00E9435E">
              <w:rPr>
                <w:rFonts w:cs="Arial"/>
                <w:sz w:val="20"/>
                <w:szCs w:val="20"/>
              </w:rPr>
              <w:t>Source BTU over the EUL of the measure. For dual-baseline measures both first and 2</w:t>
            </w:r>
            <w:r w:rsidRPr="00E9435E">
              <w:rPr>
                <w:rFonts w:cs="Arial"/>
                <w:sz w:val="20"/>
                <w:szCs w:val="20"/>
                <w:vertAlign w:val="superscript"/>
              </w:rPr>
              <w:t>nd</w:t>
            </w:r>
            <w:r w:rsidRPr="00E9435E">
              <w:rPr>
                <w:rFonts w:cs="Arial"/>
                <w:sz w:val="20"/>
                <w:szCs w:val="20"/>
              </w:rPr>
              <w:t xml:space="preserve"> baseline usage and RUL and EUL-RUL should be used respectively while calculating Life-cycle source BTU. </w:t>
            </w:r>
          </w:p>
        </w:tc>
      </w:tr>
      <w:tr w:rsidR="00A26ADE" w:rsidRPr="00E9435E" w14:paraId="31374C9E" w14:textId="77777777" w:rsidTr="762667E3">
        <w:trPr>
          <w:cantSplit/>
        </w:trPr>
        <w:tc>
          <w:tcPr>
            <w:tcW w:w="2464" w:type="dxa"/>
          </w:tcPr>
          <w:p w14:paraId="7EF81AA3" w14:textId="77777777" w:rsidR="00A26ADE" w:rsidRPr="00E9435E" w:rsidRDefault="00A26ADE" w:rsidP="00A26ADE">
            <w:pPr>
              <w:rPr>
                <w:rFonts w:cs="Arial"/>
                <w:sz w:val="20"/>
                <w:szCs w:val="20"/>
              </w:rPr>
            </w:pPr>
            <w:r w:rsidRPr="00E9435E">
              <w:rPr>
                <w:rFonts w:cs="Arial"/>
                <w:sz w:val="20"/>
                <w:szCs w:val="20"/>
              </w:rPr>
              <w:lastRenderedPageBreak/>
              <w:t>Measure Application Type (MAT)</w:t>
            </w:r>
          </w:p>
        </w:tc>
        <w:tc>
          <w:tcPr>
            <w:tcW w:w="7184" w:type="dxa"/>
          </w:tcPr>
          <w:p w14:paraId="0F22E9C3" w14:textId="0C298E4C" w:rsidR="00A26ADE" w:rsidRPr="00E9435E" w:rsidRDefault="00A26ADE" w:rsidP="00A26ADE">
            <w:pPr>
              <w:rPr>
                <w:rFonts w:cs="Arial"/>
                <w:sz w:val="20"/>
                <w:szCs w:val="20"/>
              </w:rPr>
            </w:pPr>
            <w:r w:rsidRPr="00E9435E">
              <w:rPr>
                <w:rFonts w:cs="Arial"/>
                <w:sz w:val="20"/>
                <w:szCs w:val="20"/>
              </w:rPr>
              <w:t>A categorization of energy efficiency measures based on measure attributes – each measure application type has its own baseline treatment, cost basis, eligibility, and documentation requirements. There are six approved measure application types, which include: Accelerated Replacement, Add-On Equipment, Behavioral, Retro-commissioning and Operational, New Construction, Normal Replacement, and Weatherization. Each of these measure application types is further defined below.</w:t>
            </w:r>
            <w:r w:rsidRPr="00E9435E">
              <w:rPr>
                <w:rStyle w:val="FootnoteReference"/>
                <w:rFonts w:cs="Arial"/>
                <w:sz w:val="20"/>
                <w:szCs w:val="20"/>
              </w:rPr>
              <w:footnoteReference w:id="49"/>
            </w:r>
          </w:p>
          <w:p w14:paraId="30F4EBAB" w14:textId="77777777" w:rsidR="00A26ADE" w:rsidRPr="00E9435E" w:rsidRDefault="00A26ADE" w:rsidP="00A26ADE">
            <w:pPr>
              <w:rPr>
                <w:rFonts w:cs="Arial"/>
                <w:sz w:val="20"/>
                <w:szCs w:val="20"/>
              </w:rPr>
            </w:pPr>
          </w:p>
          <w:p w14:paraId="3F01D690" w14:textId="77777777" w:rsidR="00A26ADE" w:rsidRPr="00E9435E" w:rsidRDefault="00A26ADE" w:rsidP="00A26ADE">
            <w:pPr>
              <w:rPr>
                <w:rFonts w:cs="Arial"/>
                <w:sz w:val="20"/>
                <w:szCs w:val="20"/>
              </w:rPr>
            </w:pPr>
            <w:r w:rsidRPr="00D31787">
              <w:rPr>
                <w:rFonts w:cs="Arial"/>
                <w:i/>
                <w:iCs/>
                <w:sz w:val="20"/>
                <w:szCs w:val="20"/>
              </w:rPr>
              <w:t xml:space="preserve">Accelerated Replacement (AR): </w:t>
            </w:r>
            <w:r w:rsidRPr="00E9435E">
              <w:rPr>
                <w:rFonts w:cs="Arial"/>
                <w:sz w:val="20"/>
                <w:szCs w:val="20"/>
              </w:rPr>
              <w:t>A measure application type which includes three subtypes: Early Retirement (ER), Repair Eligible (RE), and Repair Indefinitely (RI).</w:t>
            </w:r>
            <w:r w:rsidRPr="00E9435E">
              <w:rPr>
                <w:rStyle w:val="FootnoteReference"/>
                <w:sz w:val="20"/>
                <w:szCs w:val="20"/>
              </w:rPr>
              <w:footnoteReference w:id="50"/>
            </w:r>
          </w:p>
          <w:p w14:paraId="10324786" w14:textId="77777777" w:rsidR="00A26ADE" w:rsidRPr="00E9435E" w:rsidRDefault="00A26ADE" w:rsidP="00A26ADE">
            <w:pPr>
              <w:rPr>
                <w:rFonts w:cs="Arial"/>
                <w:sz w:val="20"/>
                <w:szCs w:val="20"/>
              </w:rPr>
            </w:pPr>
          </w:p>
          <w:p w14:paraId="73EEA1EA" w14:textId="77777777" w:rsidR="00A26ADE" w:rsidRPr="00E9435E" w:rsidRDefault="00A26ADE" w:rsidP="00A26ADE">
            <w:pPr>
              <w:rPr>
                <w:rFonts w:cs="Arial"/>
                <w:sz w:val="20"/>
                <w:szCs w:val="20"/>
              </w:rPr>
            </w:pPr>
            <w:r w:rsidRPr="00E9435E">
              <w:rPr>
                <w:rFonts w:cs="Arial"/>
                <w:i/>
                <w:sz w:val="20"/>
                <w:szCs w:val="20"/>
              </w:rPr>
              <w:t xml:space="preserve">Add-On Equipment (AOE): </w:t>
            </w:r>
            <w:r w:rsidRPr="00E9435E">
              <w:rPr>
                <w:rFonts w:cs="Arial"/>
                <w:sz w:val="20"/>
                <w:szCs w:val="20"/>
              </w:rPr>
              <w:t xml:space="preserve">An Add-on Equipment (AOE) measure installs new equipment onto an existing host improving the nominal efficiency of the host system. The existing host system must be operational without the AOE, continue to operate as the primary service equipment for the existing load, and </w:t>
            </w:r>
            <w:proofErr w:type="gramStart"/>
            <w:r w:rsidRPr="00E9435E">
              <w:rPr>
                <w:rFonts w:cs="Arial"/>
                <w:sz w:val="20"/>
                <w:szCs w:val="20"/>
              </w:rPr>
              <w:t>is able to fully meet the existing load at all times</w:t>
            </w:r>
            <w:proofErr w:type="gramEnd"/>
            <w:r w:rsidRPr="00E9435E">
              <w:rPr>
                <w:rFonts w:cs="Arial"/>
                <w:sz w:val="20"/>
                <w:szCs w:val="20"/>
              </w:rPr>
              <w:t xml:space="preserve"> without the add-on component. The AOE must not be able to operate on its own. The actual energy reduction occurs at the host equipment, not at the add-on component, although any add-on component energy usage must be subtracted from the host savings.</w:t>
            </w:r>
          </w:p>
          <w:p w14:paraId="24C67DBA" w14:textId="77777777" w:rsidR="00A26ADE" w:rsidRPr="00E9435E" w:rsidRDefault="00A26ADE" w:rsidP="00A26ADE">
            <w:pPr>
              <w:rPr>
                <w:rFonts w:cs="Arial"/>
                <w:sz w:val="20"/>
                <w:szCs w:val="20"/>
              </w:rPr>
            </w:pPr>
          </w:p>
          <w:p w14:paraId="6DD21BD0" w14:textId="0FF14939" w:rsidR="00A26ADE" w:rsidRPr="00E9435E" w:rsidRDefault="00A26ADE" w:rsidP="00A26ADE">
            <w:pPr>
              <w:rPr>
                <w:rFonts w:cs="Arial"/>
                <w:sz w:val="20"/>
                <w:szCs w:val="20"/>
              </w:rPr>
            </w:pPr>
            <w:r w:rsidRPr="00E9435E">
              <w:rPr>
                <w:rFonts w:cs="Arial"/>
                <w:i/>
                <w:sz w:val="20"/>
                <w:szCs w:val="20"/>
              </w:rPr>
              <w:t xml:space="preserve">Behavioral, Retro-commissioning, and Operational (BRO): </w:t>
            </w:r>
            <w:r w:rsidRPr="00E9435E">
              <w:rPr>
                <w:rFonts w:cs="Arial"/>
                <w:sz w:val="20"/>
                <w:szCs w:val="20"/>
              </w:rPr>
              <w:t xml:space="preserve">The BRO category includes measures that either restore or improve energy </w:t>
            </w:r>
            <w:proofErr w:type="gramStart"/>
            <w:r w:rsidRPr="00E9435E">
              <w:rPr>
                <w:rFonts w:cs="Arial"/>
                <w:sz w:val="20"/>
                <w:szCs w:val="20"/>
              </w:rPr>
              <w:t>efficiency, and</w:t>
            </w:r>
            <w:proofErr w:type="gramEnd"/>
            <w:r w:rsidRPr="00E9435E">
              <w:rPr>
                <w:rFonts w:cs="Arial"/>
                <w:sz w:val="20"/>
                <w:szCs w:val="20"/>
              </w:rPr>
              <w:t xml:space="preserve"> can be reasonably expected to produce multi-year savings. BRO measures include information or educational programs that influence energy-related practices (behavioral), activities and installations that restore equipment performance to its nominal efficiency (i.e. rated, intended, or original efficiency (retro-commissioning)) but do not enhance the measure’s nominal efficiency, and measures that improve the efficient operation of installed equipment (operational). BRO sub</w:t>
            </w:r>
            <w:r w:rsidR="00872EA1">
              <w:rPr>
                <w:rFonts w:cs="Arial"/>
                <w:sz w:val="20"/>
                <w:szCs w:val="20"/>
              </w:rPr>
              <w:t>-</w:t>
            </w:r>
            <w:r w:rsidRPr="00E9435E">
              <w:rPr>
                <w:rFonts w:cs="Arial"/>
                <w:sz w:val="20"/>
                <w:szCs w:val="20"/>
              </w:rPr>
              <w:t>elements are abbreviated as follows:</w:t>
            </w:r>
          </w:p>
          <w:p w14:paraId="3081F333" w14:textId="77777777" w:rsidR="00A26ADE" w:rsidRPr="00E9435E" w:rsidRDefault="00A26ADE" w:rsidP="0087344F">
            <w:pPr>
              <w:pStyle w:val="ListParagraph"/>
              <w:numPr>
                <w:ilvl w:val="0"/>
                <w:numId w:val="10"/>
              </w:numPr>
              <w:rPr>
                <w:rFonts w:cs="Arial"/>
                <w:i/>
                <w:sz w:val="20"/>
                <w:szCs w:val="20"/>
              </w:rPr>
            </w:pPr>
            <w:r w:rsidRPr="00E9435E">
              <w:rPr>
                <w:rFonts w:cs="Arial"/>
                <w:i/>
                <w:sz w:val="20"/>
                <w:szCs w:val="20"/>
              </w:rPr>
              <w:t>BRO-</w:t>
            </w:r>
            <w:proofErr w:type="spellStart"/>
            <w:r w:rsidRPr="00E9435E">
              <w:rPr>
                <w:rFonts w:cs="Arial"/>
                <w:i/>
                <w:sz w:val="20"/>
                <w:szCs w:val="20"/>
              </w:rPr>
              <w:t>Bhv</w:t>
            </w:r>
            <w:proofErr w:type="spellEnd"/>
            <w:r w:rsidRPr="00E9435E">
              <w:rPr>
                <w:rFonts w:cs="Arial"/>
                <w:i/>
                <w:sz w:val="20"/>
                <w:szCs w:val="20"/>
              </w:rPr>
              <w:t>: BRO Behavioral</w:t>
            </w:r>
          </w:p>
          <w:p w14:paraId="045BB017" w14:textId="77777777" w:rsidR="00A26ADE" w:rsidRPr="00E9435E" w:rsidRDefault="00A26ADE" w:rsidP="0087344F">
            <w:pPr>
              <w:pStyle w:val="ListParagraph"/>
              <w:numPr>
                <w:ilvl w:val="0"/>
                <w:numId w:val="10"/>
              </w:numPr>
              <w:rPr>
                <w:rFonts w:cs="Arial"/>
                <w:i/>
                <w:sz w:val="20"/>
                <w:szCs w:val="20"/>
              </w:rPr>
            </w:pPr>
            <w:r w:rsidRPr="00E9435E">
              <w:rPr>
                <w:rFonts w:cs="Arial"/>
                <w:i/>
                <w:sz w:val="20"/>
                <w:szCs w:val="20"/>
              </w:rPr>
              <w:t>BRO-Op: BRO Operational</w:t>
            </w:r>
          </w:p>
          <w:p w14:paraId="4C7F1D8C" w14:textId="77777777" w:rsidR="00A26ADE" w:rsidRPr="00E9435E" w:rsidRDefault="00A26ADE" w:rsidP="0087344F">
            <w:pPr>
              <w:pStyle w:val="ListParagraph"/>
              <w:numPr>
                <w:ilvl w:val="0"/>
                <w:numId w:val="10"/>
              </w:numPr>
              <w:rPr>
                <w:rFonts w:cs="Arial"/>
                <w:i/>
                <w:sz w:val="20"/>
                <w:szCs w:val="20"/>
              </w:rPr>
            </w:pPr>
            <w:r w:rsidRPr="00E9435E">
              <w:rPr>
                <w:rFonts w:cs="Arial"/>
                <w:i/>
                <w:sz w:val="20"/>
                <w:szCs w:val="20"/>
              </w:rPr>
              <w:t>BRO-</w:t>
            </w:r>
            <w:proofErr w:type="spellStart"/>
            <w:r w:rsidRPr="00E9435E">
              <w:rPr>
                <w:rFonts w:cs="Arial"/>
                <w:i/>
                <w:sz w:val="20"/>
                <w:szCs w:val="20"/>
              </w:rPr>
              <w:t>RCx</w:t>
            </w:r>
            <w:proofErr w:type="spellEnd"/>
            <w:r w:rsidRPr="00E9435E">
              <w:rPr>
                <w:rFonts w:cs="Arial"/>
                <w:i/>
                <w:sz w:val="20"/>
                <w:szCs w:val="20"/>
              </w:rPr>
              <w:t xml:space="preserve">: BRO </w:t>
            </w:r>
            <w:proofErr w:type="spellStart"/>
            <w:r w:rsidRPr="00E9435E">
              <w:rPr>
                <w:rFonts w:cs="Arial"/>
                <w:i/>
                <w:sz w:val="20"/>
                <w:szCs w:val="20"/>
              </w:rPr>
              <w:t>Retrocommissiong</w:t>
            </w:r>
            <w:proofErr w:type="spellEnd"/>
          </w:p>
          <w:p w14:paraId="439D70BB" w14:textId="77777777" w:rsidR="00A26ADE" w:rsidRPr="00E9435E" w:rsidRDefault="00A26ADE" w:rsidP="00A26ADE">
            <w:pPr>
              <w:rPr>
                <w:rFonts w:cs="Arial"/>
                <w:i/>
                <w:sz w:val="20"/>
                <w:szCs w:val="20"/>
              </w:rPr>
            </w:pPr>
          </w:p>
          <w:p w14:paraId="09FA8CDB" w14:textId="77777777" w:rsidR="00A26ADE" w:rsidRPr="00E9435E" w:rsidRDefault="00A26ADE" w:rsidP="00A26ADE">
            <w:pPr>
              <w:rPr>
                <w:rFonts w:cs="Arial"/>
                <w:sz w:val="20"/>
                <w:szCs w:val="20"/>
              </w:rPr>
            </w:pPr>
            <w:r w:rsidRPr="00E9435E">
              <w:rPr>
                <w:rFonts w:cs="Arial"/>
                <w:i/>
                <w:sz w:val="20"/>
                <w:szCs w:val="20"/>
              </w:rPr>
              <w:t xml:space="preserve">Early Retirement (ER): </w:t>
            </w:r>
            <w:r w:rsidRPr="00E9435E">
              <w:rPr>
                <w:rFonts w:cs="Arial"/>
                <w:sz w:val="20"/>
                <w:szCs w:val="20"/>
              </w:rPr>
              <w:t>Subset of Accelerated Replacement. The ER category is a sub-type of the larger Accelerated Replacement category, which includes replacements of existing equipment with nominally higher efficiency equipment and where there is more evidence than not that a) the existing equipment would have remained in operation for at least the remaining life of the existing equipment, performing its current service requirement and b) the energy efficiency program activity induced or accelerated the equipment replacement. The existing equipment must have at least one year of remaining useful life to qualify as Early Retirement.</w:t>
            </w:r>
          </w:p>
          <w:p w14:paraId="6BFA55A5" w14:textId="77777777" w:rsidR="00A26ADE" w:rsidRPr="00E9435E" w:rsidRDefault="00A26ADE" w:rsidP="00A26ADE">
            <w:pPr>
              <w:rPr>
                <w:rFonts w:cs="Arial"/>
                <w:sz w:val="20"/>
                <w:szCs w:val="20"/>
              </w:rPr>
            </w:pPr>
          </w:p>
          <w:p w14:paraId="7DB47B98" w14:textId="3144A8D1" w:rsidR="00A26ADE" w:rsidRPr="00E9435E" w:rsidRDefault="00A26ADE" w:rsidP="00A26ADE">
            <w:pPr>
              <w:rPr>
                <w:rFonts w:cs="Arial"/>
                <w:sz w:val="20"/>
                <w:szCs w:val="20"/>
              </w:rPr>
            </w:pPr>
            <w:r w:rsidRPr="00E9435E">
              <w:rPr>
                <w:rFonts w:cs="Arial"/>
                <w:i/>
                <w:sz w:val="20"/>
                <w:szCs w:val="20"/>
              </w:rPr>
              <w:t>New Construction</w:t>
            </w:r>
            <w:r w:rsidRPr="00E9435E" w:rsidDel="00350B0E">
              <w:rPr>
                <w:rFonts w:cs="Arial"/>
                <w:i/>
                <w:sz w:val="20"/>
                <w:szCs w:val="20"/>
              </w:rPr>
              <w:t xml:space="preserve"> </w:t>
            </w:r>
            <w:r w:rsidRPr="00E9435E">
              <w:rPr>
                <w:rFonts w:cs="Arial"/>
                <w:i/>
                <w:sz w:val="20"/>
                <w:szCs w:val="20"/>
              </w:rPr>
              <w:t xml:space="preserve">(NC): </w:t>
            </w:r>
            <w:r w:rsidRPr="00E9435E">
              <w:rPr>
                <w:rFonts w:cs="Arial"/>
                <w:sz w:val="20"/>
                <w:szCs w:val="20"/>
              </w:rPr>
              <w:t>NC includes eligible projects where equipment is installed in a new area or one that has been subject to a major renovation, or to expand capacity of existing systems, or to serve a new load.</w:t>
            </w:r>
          </w:p>
          <w:p w14:paraId="0FF682B6" w14:textId="77777777" w:rsidR="00A26ADE" w:rsidRPr="00E9435E" w:rsidRDefault="00A26ADE" w:rsidP="00A26ADE">
            <w:pPr>
              <w:rPr>
                <w:rFonts w:cs="Arial"/>
                <w:sz w:val="20"/>
                <w:szCs w:val="20"/>
              </w:rPr>
            </w:pPr>
          </w:p>
          <w:p w14:paraId="7F0149C5" w14:textId="77777777" w:rsidR="00A26ADE" w:rsidRPr="00E9435E" w:rsidRDefault="00A26ADE" w:rsidP="00A26ADE">
            <w:pPr>
              <w:rPr>
                <w:rFonts w:cs="Arial"/>
                <w:sz w:val="20"/>
                <w:szCs w:val="20"/>
              </w:rPr>
            </w:pPr>
            <w:r w:rsidRPr="00E9435E">
              <w:rPr>
                <w:rFonts w:cs="Arial"/>
                <w:i/>
                <w:sz w:val="20"/>
                <w:szCs w:val="20"/>
              </w:rPr>
              <w:t xml:space="preserve">Normal Replacement (NR): </w:t>
            </w:r>
            <w:r w:rsidRPr="00E9435E">
              <w:rPr>
                <w:rFonts w:cs="Arial"/>
                <w:sz w:val="20"/>
                <w:szCs w:val="20"/>
              </w:rPr>
              <w:t xml:space="preserve">NR includes measure installations where the existing equipment has failed or no longer meets current or anticipated needs or is being replaced due to remodeling, upgrading, or replacement activities that are undertaken in the normal course of business. Measure installations where the existing equipment is still functional but does not qualify for Accelerated Replacement fall into this category. This category now includes measures that previously fit into the </w:t>
            </w:r>
            <w:proofErr w:type="gramStart"/>
            <w:r w:rsidRPr="00E9435E">
              <w:rPr>
                <w:rFonts w:cs="Arial"/>
                <w:sz w:val="20"/>
                <w:szCs w:val="20"/>
              </w:rPr>
              <w:t>now-retired</w:t>
            </w:r>
            <w:proofErr w:type="gramEnd"/>
            <w:r w:rsidRPr="00E9435E">
              <w:rPr>
                <w:rFonts w:cs="Arial"/>
                <w:sz w:val="20"/>
                <w:szCs w:val="20"/>
              </w:rPr>
              <w:t xml:space="preserve"> Replace on Burnout category.</w:t>
            </w:r>
          </w:p>
          <w:p w14:paraId="6F77F99C" w14:textId="77777777" w:rsidR="00A26ADE" w:rsidRPr="00E9435E" w:rsidRDefault="00A26ADE" w:rsidP="00A26ADE">
            <w:pPr>
              <w:rPr>
                <w:rFonts w:cs="Arial"/>
                <w:sz w:val="20"/>
                <w:szCs w:val="20"/>
              </w:rPr>
            </w:pPr>
          </w:p>
          <w:p w14:paraId="68AFB700" w14:textId="77777777" w:rsidR="00A26ADE" w:rsidRPr="00E9435E" w:rsidRDefault="00A26ADE" w:rsidP="00A26ADE">
            <w:pPr>
              <w:rPr>
                <w:rFonts w:cs="Arial"/>
                <w:sz w:val="20"/>
                <w:szCs w:val="20"/>
              </w:rPr>
            </w:pPr>
            <w:r w:rsidRPr="00D31787">
              <w:rPr>
                <w:rFonts w:cs="Arial"/>
                <w:i/>
                <w:iCs/>
                <w:sz w:val="20"/>
                <w:szCs w:val="20"/>
              </w:rPr>
              <w:t xml:space="preserve">Repair Eligible (RE): </w:t>
            </w:r>
            <w:r w:rsidRPr="00E9435E">
              <w:rPr>
                <w:rFonts w:cs="Arial"/>
                <w:sz w:val="20"/>
                <w:szCs w:val="20"/>
              </w:rPr>
              <w:t>A measure application type representing the replacement of equipment that needs a major repair to return the equipment to fully serving the load and that repair cost is less than 50% of the full measure cost.</w:t>
            </w:r>
            <w:r w:rsidRPr="00E9435E">
              <w:rPr>
                <w:rStyle w:val="FootnoteReference"/>
                <w:rFonts w:cs="Arial"/>
                <w:sz w:val="20"/>
                <w:szCs w:val="20"/>
              </w:rPr>
              <w:footnoteReference w:id="51"/>
            </w:r>
          </w:p>
          <w:p w14:paraId="519A4EAA" w14:textId="77777777" w:rsidR="00A26ADE" w:rsidRPr="00E9435E" w:rsidRDefault="00A26ADE" w:rsidP="00A26ADE">
            <w:pPr>
              <w:rPr>
                <w:rFonts w:cs="Arial"/>
                <w:sz w:val="20"/>
                <w:szCs w:val="20"/>
              </w:rPr>
            </w:pPr>
          </w:p>
          <w:p w14:paraId="27C8BF54" w14:textId="33024598" w:rsidR="00A26ADE" w:rsidRPr="00E9435E" w:rsidRDefault="00A26ADE" w:rsidP="00A26ADE">
            <w:pPr>
              <w:rPr>
                <w:rFonts w:ascii="MS Gothic" w:eastAsia="MS Gothic" w:hAnsi="MS Gothic" w:cs="MS Gothic"/>
                <w:sz w:val="20"/>
                <w:szCs w:val="20"/>
              </w:rPr>
            </w:pPr>
            <w:r w:rsidRPr="00D31787">
              <w:rPr>
                <w:rFonts w:cs="Arial"/>
                <w:i/>
                <w:iCs/>
                <w:sz w:val="20"/>
                <w:szCs w:val="20"/>
              </w:rPr>
              <w:t xml:space="preserve">Repair Indefinitely (RI): </w:t>
            </w:r>
            <w:r w:rsidRPr="00E9435E">
              <w:rPr>
                <w:rFonts w:cs="Arial"/>
                <w:sz w:val="20"/>
                <w:szCs w:val="20"/>
              </w:rPr>
              <w:t xml:space="preserve">A measure application type representing the replacement of equipment that exceeds </w:t>
            </w:r>
            <w:proofErr w:type="spellStart"/>
            <w:r w:rsidR="00872EA1" w:rsidRPr="00E9435E">
              <w:rPr>
                <w:rFonts w:cs="Arial"/>
                <w:sz w:val="20"/>
                <w:szCs w:val="20"/>
              </w:rPr>
              <w:t>it’s</w:t>
            </w:r>
            <w:proofErr w:type="spellEnd"/>
            <w:r w:rsidRPr="00E9435E">
              <w:rPr>
                <w:rFonts w:cs="Arial"/>
                <w:sz w:val="20"/>
                <w:szCs w:val="20"/>
              </w:rPr>
              <w:t xml:space="preserve"> EUL and has a history of repair and maintenance and could continue to be maintained to serve the load for the RUL of the existing equipment.</w:t>
            </w:r>
            <w:r w:rsidRPr="00E9435E">
              <w:rPr>
                <w:rStyle w:val="FootnoteReference"/>
                <w:rFonts w:cs="Arial"/>
                <w:sz w:val="20"/>
                <w:szCs w:val="20"/>
              </w:rPr>
              <w:footnoteReference w:id="52"/>
            </w:r>
            <w:r w:rsidRPr="00E9435E">
              <w:rPr>
                <w:rFonts w:cs="Arial"/>
                <w:sz w:val="20"/>
                <w:szCs w:val="20"/>
              </w:rPr>
              <w:t xml:space="preserve"> </w:t>
            </w:r>
            <w:r w:rsidRPr="00E9435E">
              <w:rPr>
                <w:rFonts w:ascii="MS Gothic" w:eastAsia="MS Gothic" w:hAnsi="MS Gothic" w:cs="MS Gothic"/>
                <w:sz w:val="20"/>
                <w:szCs w:val="20"/>
              </w:rPr>
              <w:t> </w:t>
            </w:r>
          </w:p>
          <w:p w14:paraId="29829F4C" w14:textId="77777777" w:rsidR="00A26ADE" w:rsidRPr="00E9435E" w:rsidRDefault="00A26ADE" w:rsidP="00A26ADE">
            <w:pPr>
              <w:rPr>
                <w:rFonts w:ascii="MS Gothic" w:eastAsia="MS Gothic" w:hAnsi="MS Gothic" w:cs="MS Gothic"/>
                <w:sz w:val="20"/>
                <w:szCs w:val="20"/>
              </w:rPr>
            </w:pPr>
          </w:p>
          <w:p w14:paraId="1325EE65" w14:textId="43BE7E1D" w:rsidR="00A26ADE" w:rsidRPr="00E9435E" w:rsidRDefault="00A26ADE" w:rsidP="00A26ADE">
            <w:pPr>
              <w:rPr>
                <w:rFonts w:cs="Arial"/>
                <w:i/>
                <w:sz w:val="20"/>
                <w:szCs w:val="20"/>
              </w:rPr>
            </w:pPr>
            <w:r w:rsidRPr="00E9435E">
              <w:rPr>
                <w:rFonts w:cs="Arial"/>
                <w:i/>
                <w:sz w:val="20"/>
                <w:szCs w:val="20"/>
              </w:rPr>
              <w:t xml:space="preserve">Weatherization (BW): </w:t>
            </w:r>
            <w:r w:rsidRPr="00E9435E">
              <w:rPr>
                <w:rFonts w:cs="Arial"/>
                <w:sz w:val="20"/>
                <w:szCs w:val="20"/>
              </w:rPr>
              <w:t xml:space="preserve">The BW category includes improvements to non-mechanical building structures, improving the nominal efficiency of pre-existing equipment that is otherwise expected to perform essential building functions throughout the course of a building’s </w:t>
            </w:r>
            <w:proofErr w:type="gramStart"/>
            <w:r w:rsidR="00881CC9">
              <w:rPr>
                <w:rFonts w:cs="Arial"/>
                <w:sz w:val="20"/>
                <w:szCs w:val="20"/>
              </w:rPr>
              <w:t>life-cycle</w:t>
            </w:r>
            <w:proofErr w:type="gramEnd"/>
            <w:r w:rsidRPr="00E9435E">
              <w:rPr>
                <w:rFonts w:cs="Arial"/>
                <w:sz w:val="20"/>
                <w:szCs w:val="20"/>
              </w:rPr>
              <w:t>, without regular replacement. Such measures improve the efficiency of equipment that does not burn out or when it does burn out the building can function without them; thus, the equipment is typically not replaced unless there is a major building renovation.</w:t>
            </w:r>
          </w:p>
        </w:tc>
      </w:tr>
      <w:tr w:rsidR="00A26ADE" w:rsidRPr="00E9435E" w14:paraId="6D222228" w14:textId="77777777" w:rsidTr="762667E3">
        <w:trPr>
          <w:cantSplit/>
        </w:trPr>
        <w:tc>
          <w:tcPr>
            <w:tcW w:w="2464" w:type="dxa"/>
          </w:tcPr>
          <w:p w14:paraId="49DE426A" w14:textId="77777777" w:rsidR="00A26ADE" w:rsidRPr="00E9435E" w:rsidRDefault="00A26ADE" w:rsidP="00A26ADE">
            <w:pPr>
              <w:rPr>
                <w:rFonts w:cs="Arial"/>
                <w:sz w:val="20"/>
                <w:szCs w:val="20"/>
              </w:rPr>
            </w:pPr>
            <w:r w:rsidRPr="00E9435E">
              <w:rPr>
                <w:rFonts w:cs="Arial"/>
                <w:sz w:val="20"/>
                <w:szCs w:val="20"/>
              </w:rPr>
              <w:lastRenderedPageBreak/>
              <w:t xml:space="preserve">Net-to-Gross (NTG) Ratio </w:t>
            </w:r>
          </w:p>
        </w:tc>
        <w:tc>
          <w:tcPr>
            <w:tcW w:w="7184" w:type="dxa"/>
          </w:tcPr>
          <w:p w14:paraId="6EA6BFB6" w14:textId="77777777" w:rsidR="00A26ADE" w:rsidRPr="00E9435E" w:rsidRDefault="00A26ADE" w:rsidP="00A26ADE">
            <w:pPr>
              <w:rPr>
                <w:rFonts w:cs="Arial"/>
                <w:sz w:val="20"/>
                <w:szCs w:val="20"/>
              </w:rPr>
            </w:pPr>
            <w:r w:rsidRPr="00E9435E">
              <w:rPr>
                <w:rFonts w:cs="Arial"/>
                <w:sz w:val="20"/>
                <w:szCs w:val="20"/>
              </w:rPr>
              <w:t>A ratio or percentage of net program impacts divided by gross or total impacts. Net-to-gross ratios are used to estimate and describe the free-ridership that may be occurring among energy efficiency program participant s.</w:t>
            </w:r>
            <w:r w:rsidRPr="00E9435E">
              <w:rPr>
                <w:rStyle w:val="FootnoteReference"/>
                <w:rFonts w:cs="Arial"/>
                <w:sz w:val="20"/>
                <w:szCs w:val="20"/>
              </w:rPr>
              <w:footnoteReference w:id="53"/>
            </w:r>
            <w:r w:rsidRPr="00E9435E">
              <w:rPr>
                <w:rFonts w:cs="Arial"/>
                <w:sz w:val="20"/>
                <w:szCs w:val="20"/>
              </w:rPr>
              <w:t xml:space="preserve"> </w:t>
            </w:r>
          </w:p>
        </w:tc>
      </w:tr>
      <w:tr w:rsidR="00A26ADE" w:rsidRPr="00E9435E" w14:paraId="12CFA566" w14:textId="77777777" w:rsidTr="762667E3">
        <w:trPr>
          <w:cantSplit/>
        </w:trPr>
        <w:tc>
          <w:tcPr>
            <w:tcW w:w="2464" w:type="dxa"/>
          </w:tcPr>
          <w:p w14:paraId="51855C8E" w14:textId="320D1E09" w:rsidR="00A26ADE" w:rsidRPr="00E9435E" w:rsidRDefault="00A26ADE" w:rsidP="00A26ADE">
            <w:pPr>
              <w:rPr>
                <w:rFonts w:cs="Arial"/>
                <w:sz w:val="20"/>
                <w:szCs w:val="20"/>
              </w:rPr>
            </w:pPr>
            <w:r w:rsidRPr="00E9435E">
              <w:rPr>
                <w:rFonts w:cs="Arial"/>
                <w:sz w:val="20"/>
                <w:szCs w:val="20"/>
              </w:rPr>
              <w:t>New Constructio</w:t>
            </w:r>
            <w:r w:rsidR="006924AC">
              <w:rPr>
                <w:rFonts w:cs="Arial"/>
                <w:sz w:val="20"/>
                <w:szCs w:val="20"/>
              </w:rPr>
              <w:t xml:space="preserve">n </w:t>
            </w:r>
            <w:r w:rsidRPr="00E9435E">
              <w:rPr>
                <w:rFonts w:cs="Arial"/>
                <w:sz w:val="20"/>
                <w:szCs w:val="20"/>
              </w:rPr>
              <w:t>(NEW)</w:t>
            </w:r>
          </w:p>
        </w:tc>
        <w:tc>
          <w:tcPr>
            <w:tcW w:w="7184" w:type="dxa"/>
          </w:tcPr>
          <w:p w14:paraId="225ADCA7" w14:textId="77777777" w:rsidR="00A26ADE" w:rsidRPr="00E9435E" w:rsidRDefault="00A26ADE" w:rsidP="00A26ADE">
            <w:pPr>
              <w:rPr>
                <w:rFonts w:cs="Arial"/>
                <w:sz w:val="20"/>
                <w:szCs w:val="20"/>
              </w:rPr>
            </w:pPr>
            <w:r w:rsidRPr="00E9435E">
              <w:rPr>
                <w:rFonts w:cs="Arial"/>
                <w:sz w:val="20"/>
                <w:szCs w:val="20"/>
              </w:rPr>
              <w:t>See Measure Application Type.</w:t>
            </w:r>
          </w:p>
        </w:tc>
      </w:tr>
      <w:tr w:rsidR="00A26ADE" w:rsidRPr="00E9435E" w14:paraId="7867E219" w14:textId="77777777" w:rsidTr="762667E3">
        <w:trPr>
          <w:cantSplit/>
        </w:trPr>
        <w:tc>
          <w:tcPr>
            <w:tcW w:w="2464" w:type="dxa"/>
          </w:tcPr>
          <w:p w14:paraId="43C35445" w14:textId="77777777" w:rsidR="00A26ADE" w:rsidRPr="00E9435E" w:rsidRDefault="00A26ADE" w:rsidP="00A26ADE">
            <w:pPr>
              <w:rPr>
                <w:rFonts w:cs="Arial"/>
                <w:sz w:val="20"/>
                <w:szCs w:val="20"/>
              </w:rPr>
            </w:pPr>
            <w:r w:rsidRPr="00E9435E">
              <w:rPr>
                <w:rFonts w:cs="Arial"/>
                <w:sz w:val="20"/>
                <w:szCs w:val="20"/>
              </w:rPr>
              <w:t>Normal Replacement (NR)</w:t>
            </w:r>
          </w:p>
        </w:tc>
        <w:tc>
          <w:tcPr>
            <w:tcW w:w="7184" w:type="dxa"/>
          </w:tcPr>
          <w:p w14:paraId="3784B030" w14:textId="77777777" w:rsidR="00A26ADE" w:rsidRPr="00E9435E" w:rsidRDefault="00A26ADE" w:rsidP="00A26ADE">
            <w:pPr>
              <w:rPr>
                <w:rFonts w:cs="Arial"/>
                <w:sz w:val="20"/>
                <w:szCs w:val="20"/>
              </w:rPr>
            </w:pPr>
            <w:r w:rsidRPr="00E9435E">
              <w:rPr>
                <w:rFonts w:cs="Arial"/>
                <w:sz w:val="20"/>
                <w:szCs w:val="20"/>
              </w:rPr>
              <w:t>See Measure Application Type.</w:t>
            </w:r>
          </w:p>
        </w:tc>
      </w:tr>
      <w:tr w:rsidR="00A26ADE" w:rsidRPr="00E9435E" w14:paraId="762A1A4E" w14:textId="77777777" w:rsidTr="762667E3">
        <w:trPr>
          <w:cantSplit/>
        </w:trPr>
        <w:tc>
          <w:tcPr>
            <w:tcW w:w="2464" w:type="dxa"/>
          </w:tcPr>
          <w:p w14:paraId="72073F3C" w14:textId="77777777" w:rsidR="00A26ADE" w:rsidRPr="00E9435E" w:rsidRDefault="00A26ADE" w:rsidP="00A26ADE">
            <w:pPr>
              <w:rPr>
                <w:rFonts w:cs="Arial"/>
                <w:sz w:val="20"/>
                <w:szCs w:val="20"/>
              </w:rPr>
            </w:pPr>
            <w:r w:rsidRPr="00E9435E">
              <w:rPr>
                <w:rFonts w:cs="Arial"/>
                <w:sz w:val="20"/>
                <w:szCs w:val="20"/>
              </w:rPr>
              <w:t>Program</w:t>
            </w:r>
          </w:p>
        </w:tc>
        <w:tc>
          <w:tcPr>
            <w:tcW w:w="7184" w:type="dxa"/>
          </w:tcPr>
          <w:p w14:paraId="1B11C6A1" w14:textId="77777777" w:rsidR="00A26ADE" w:rsidRPr="00E9435E" w:rsidRDefault="00A26ADE" w:rsidP="00A26ADE">
            <w:pPr>
              <w:rPr>
                <w:rFonts w:cs="Arial"/>
                <w:sz w:val="20"/>
                <w:szCs w:val="20"/>
              </w:rPr>
            </w:pPr>
            <w:r w:rsidRPr="00E9435E">
              <w:rPr>
                <w:rFonts w:cs="Arial"/>
                <w:sz w:val="20"/>
                <w:szCs w:val="20"/>
              </w:rPr>
              <w:t>A collection of defined activities and measures that:</w:t>
            </w:r>
          </w:p>
          <w:p w14:paraId="13FDBC46" w14:textId="77777777" w:rsidR="00A26ADE" w:rsidRPr="00E9435E" w:rsidRDefault="00A26ADE" w:rsidP="0087344F">
            <w:pPr>
              <w:pStyle w:val="ListParagraph"/>
              <w:numPr>
                <w:ilvl w:val="0"/>
                <w:numId w:val="3"/>
              </w:numPr>
              <w:ind w:left="413" w:hanging="360"/>
              <w:rPr>
                <w:rFonts w:cs="Arial"/>
                <w:sz w:val="20"/>
                <w:szCs w:val="20"/>
              </w:rPr>
            </w:pPr>
            <w:r w:rsidRPr="00E9435E">
              <w:rPr>
                <w:rFonts w:cs="Arial"/>
                <w:sz w:val="20"/>
                <w:szCs w:val="20"/>
              </w:rPr>
              <w:t xml:space="preserve">are carried out by the administrator and/or their subcontractors and implementers, </w:t>
            </w:r>
          </w:p>
          <w:p w14:paraId="082C7C3C" w14:textId="77777777" w:rsidR="00A26ADE" w:rsidRPr="00E9435E" w:rsidRDefault="00A26ADE" w:rsidP="0087344F">
            <w:pPr>
              <w:pStyle w:val="ListParagraph"/>
              <w:numPr>
                <w:ilvl w:val="0"/>
                <w:numId w:val="3"/>
              </w:numPr>
              <w:ind w:left="413" w:hanging="360"/>
              <w:rPr>
                <w:rFonts w:cs="Arial"/>
                <w:sz w:val="20"/>
                <w:szCs w:val="20"/>
              </w:rPr>
            </w:pPr>
            <w:r w:rsidRPr="00E9435E">
              <w:rPr>
                <w:rFonts w:cs="Arial"/>
                <w:sz w:val="20"/>
                <w:szCs w:val="20"/>
              </w:rPr>
              <w:t xml:space="preserve">target a specific market segment, customer class, a defined end use, or a defined set of market actors (e.g. designers, architects, homeowners), </w:t>
            </w:r>
          </w:p>
          <w:p w14:paraId="2DA6C31E" w14:textId="77777777" w:rsidR="00A26ADE" w:rsidRPr="00E9435E" w:rsidRDefault="00A26ADE" w:rsidP="0087344F">
            <w:pPr>
              <w:pStyle w:val="ListParagraph"/>
              <w:numPr>
                <w:ilvl w:val="0"/>
                <w:numId w:val="3"/>
              </w:numPr>
              <w:ind w:left="413" w:hanging="360"/>
              <w:rPr>
                <w:rFonts w:cs="Arial"/>
                <w:sz w:val="20"/>
                <w:szCs w:val="20"/>
              </w:rPr>
            </w:pPr>
            <w:r w:rsidRPr="00E9435E">
              <w:rPr>
                <w:rFonts w:cs="Arial"/>
                <w:sz w:val="20"/>
                <w:szCs w:val="20"/>
              </w:rPr>
              <w:t>are designed to achieve specific efficiency related changes in behavior, investment practices or maintenance practice in the energy market, and are guided by a specific budget and implementation plan.</w:t>
            </w:r>
            <w:r w:rsidRPr="00E9435E">
              <w:rPr>
                <w:rStyle w:val="FootnoteReference"/>
                <w:sz w:val="20"/>
                <w:szCs w:val="20"/>
              </w:rPr>
              <w:footnoteReference w:id="54"/>
            </w:r>
          </w:p>
        </w:tc>
      </w:tr>
      <w:tr w:rsidR="00A26ADE" w:rsidRPr="00E9435E" w14:paraId="2A27AA39" w14:textId="77777777" w:rsidTr="762667E3">
        <w:trPr>
          <w:cantSplit/>
        </w:trPr>
        <w:tc>
          <w:tcPr>
            <w:tcW w:w="2464" w:type="dxa"/>
          </w:tcPr>
          <w:p w14:paraId="48400DDC" w14:textId="77777777" w:rsidR="00A26ADE" w:rsidRPr="00E9435E" w:rsidRDefault="00A26ADE" w:rsidP="00A26ADE">
            <w:pPr>
              <w:rPr>
                <w:rFonts w:cs="Arial"/>
                <w:sz w:val="20"/>
                <w:szCs w:val="20"/>
              </w:rPr>
            </w:pPr>
            <w:r w:rsidRPr="00E9435E">
              <w:rPr>
                <w:rFonts w:cs="Arial"/>
                <w:sz w:val="20"/>
                <w:szCs w:val="20"/>
              </w:rPr>
              <w:t>Program Administrator (PA)</w:t>
            </w:r>
          </w:p>
        </w:tc>
        <w:tc>
          <w:tcPr>
            <w:tcW w:w="7184" w:type="dxa"/>
          </w:tcPr>
          <w:p w14:paraId="5C607D92" w14:textId="77777777" w:rsidR="00A26ADE" w:rsidRPr="00E9435E" w:rsidRDefault="00A26ADE" w:rsidP="00A26ADE">
            <w:pPr>
              <w:rPr>
                <w:rFonts w:cs="Arial"/>
                <w:sz w:val="20"/>
                <w:szCs w:val="20"/>
              </w:rPr>
            </w:pPr>
            <w:r w:rsidRPr="00E9435E">
              <w:rPr>
                <w:rFonts w:cs="Arial"/>
                <w:sz w:val="20"/>
                <w:szCs w:val="20"/>
              </w:rPr>
              <w:t>A person, company, partnership, corporation, association or other entity selected by the CPUC and any subcontractor that is retained by an aforesaid entity to contract for and administer energy efficiency programs funded in whole or in part from electric or gas Public Goods Charge funds. For purposes of implementing PU Code Section 381.1, an “administrator” is any party that receives funding for and implements energy efficiency programs pursuant to PU Code Section 381. PAs currently include investor-owned utilities, community choice aggregators, and regional energy networks.</w:t>
            </w:r>
            <w:r w:rsidRPr="00E9435E">
              <w:rPr>
                <w:rStyle w:val="FootnoteReference"/>
                <w:rFonts w:cs="Arial"/>
                <w:sz w:val="20"/>
                <w:szCs w:val="20"/>
              </w:rPr>
              <w:footnoteReference w:id="55"/>
            </w:r>
          </w:p>
        </w:tc>
      </w:tr>
      <w:tr w:rsidR="00A26ADE" w:rsidRPr="00E9435E" w14:paraId="2F3B9AA9" w14:textId="77777777" w:rsidTr="762667E3">
        <w:trPr>
          <w:cantSplit/>
        </w:trPr>
        <w:tc>
          <w:tcPr>
            <w:tcW w:w="2464" w:type="dxa"/>
          </w:tcPr>
          <w:p w14:paraId="2E8338F1" w14:textId="77777777" w:rsidR="00A26ADE" w:rsidRPr="00E9435E" w:rsidRDefault="00A26ADE" w:rsidP="00A26ADE">
            <w:pPr>
              <w:rPr>
                <w:rFonts w:cs="Arial"/>
                <w:sz w:val="20"/>
                <w:szCs w:val="20"/>
              </w:rPr>
            </w:pPr>
            <w:r w:rsidRPr="00E9435E">
              <w:rPr>
                <w:rFonts w:cs="Arial"/>
                <w:sz w:val="20"/>
                <w:szCs w:val="20"/>
              </w:rPr>
              <w:lastRenderedPageBreak/>
              <w:t>Regressive Baseline</w:t>
            </w:r>
          </w:p>
        </w:tc>
        <w:tc>
          <w:tcPr>
            <w:tcW w:w="7184" w:type="dxa"/>
          </w:tcPr>
          <w:p w14:paraId="7B2C419A" w14:textId="77777777" w:rsidR="00A26ADE" w:rsidRPr="00E9435E" w:rsidRDefault="00A26ADE" w:rsidP="00A26ADE">
            <w:pPr>
              <w:rPr>
                <w:rFonts w:cs="Arial"/>
                <w:sz w:val="20"/>
                <w:szCs w:val="20"/>
              </w:rPr>
            </w:pPr>
            <w:r w:rsidRPr="00E9435E">
              <w:rPr>
                <w:rFonts w:cs="Arial"/>
                <w:sz w:val="20"/>
                <w:szCs w:val="20"/>
              </w:rPr>
              <w:t>Use of a Code or standard practice baseline when existing equipment efficiency exceeds code or standard practice efficiency.</w:t>
            </w:r>
            <w:r w:rsidRPr="00E9435E">
              <w:rPr>
                <w:rStyle w:val="FootnoteReference"/>
                <w:rFonts w:cs="Arial"/>
                <w:sz w:val="20"/>
                <w:szCs w:val="20"/>
              </w:rPr>
              <w:footnoteReference w:id="56"/>
            </w:r>
            <w:r w:rsidRPr="00E9435E">
              <w:rPr>
                <w:rFonts w:cs="Arial"/>
                <w:sz w:val="20"/>
                <w:szCs w:val="20"/>
              </w:rPr>
              <w:t xml:space="preserve"> </w:t>
            </w:r>
          </w:p>
        </w:tc>
      </w:tr>
      <w:tr w:rsidR="00A26ADE" w:rsidRPr="00E9435E" w14:paraId="3C3FEB88" w14:textId="77777777" w:rsidTr="762667E3">
        <w:trPr>
          <w:cantSplit/>
        </w:trPr>
        <w:tc>
          <w:tcPr>
            <w:tcW w:w="2464" w:type="dxa"/>
          </w:tcPr>
          <w:p w14:paraId="1CA90310" w14:textId="77777777" w:rsidR="00A26ADE" w:rsidRPr="00E9435E" w:rsidRDefault="00A26ADE" w:rsidP="00A26ADE">
            <w:pPr>
              <w:rPr>
                <w:rFonts w:cs="Arial"/>
                <w:sz w:val="20"/>
                <w:szCs w:val="20"/>
              </w:rPr>
            </w:pPr>
            <w:r w:rsidRPr="00E9435E">
              <w:rPr>
                <w:rFonts w:cs="Arial"/>
                <w:sz w:val="20"/>
                <w:szCs w:val="20"/>
              </w:rPr>
              <w:t>Remaining Useful Life (RUL)</w:t>
            </w:r>
          </w:p>
        </w:tc>
        <w:tc>
          <w:tcPr>
            <w:tcW w:w="7184" w:type="dxa"/>
          </w:tcPr>
          <w:p w14:paraId="1AE74319" w14:textId="77777777" w:rsidR="00A26ADE" w:rsidRPr="00E9435E" w:rsidRDefault="00A26ADE" w:rsidP="00A26ADE">
            <w:pPr>
              <w:rPr>
                <w:rFonts w:cs="Arial"/>
                <w:sz w:val="20"/>
                <w:szCs w:val="20"/>
              </w:rPr>
            </w:pPr>
            <w:r w:rsidRPr="00E9435E">
              <w:rPr>
                <w:rFonts w:cs="Arial"/>
                <w:sz w:val="20"/>
                <w:szCs w:val="20"/>
              </w:rPr>
              <w:t xml:space="preserve">An estimate of the median number of years that a measure being replaced under the program would remain in place and operable had the program intervention </w:t>
            </w:r>
            <w:proofErr w:type="gramStart"/>
            <w:r w:rsidRPr="00E9435E">
              <w:rPr>
                <w:rFonts w:cs="Arial"/>
                <w:sz w:val="20"/>
                <w:szCs w:val="20"/>
              </w:rPr>
              <w:t>not caused</w:t>
            </w:r>
            <w:proofErr w:type="gramEnd"/>
            <w:r w:rsidRPr="00E9435E">
              <w:rPr>
                <w:rFonts w:cs="Arial"/>
                <w:sz w:val="20"/>
                <w:szCs w:val="20"/>
              </w:rPr>
              <w:t xml:space="preserve"> the replacement.</w:t>
            </w:r>
            <w:r w:rsidRPr="00E9435E">
              <w:rPr>
                <w:rStyle w:val="FootnoteReference"/>
                <w:rFonts w:cs="Arial"/>
                <w:sz w:val="20"/>
                <w:szCs w:val="20"/>
              </w:rPr>
              <w:footnoteReference w:id="57"/>
            </w:r>
            <w:r w:rsidRPr="00E9435E">
              <w:rPr>
                <w:rFonts w:cs="Arial"/>
                <w:sz w:val="20"/>
                <w:szCs w:val="20"/>
              </w:rPr>
              <w:t xml:space="preserve"> </w:t>
            </w:r>
          </w:p>
        </w:tc>
      </w:tr>
      <w:tr w:rsidR="00A26ADE" w:rsidRPr="00E9435E" w14:paraId="176EFEA9" w14:textId="77777777" w:rsidTr="762667E3">
        <w:trPr>
          <w:cantSplit/>
        </w:trPr>
        <w:tc>
          <w:tcPr>
            <w:tcW w:w="2464" w:type="dxa"/>
          </w:tcPr>
          <w:p w14:paraId="6DDF93BD" w14:textId="77777777" w:rsidR="00A26ADE" w:rsidRPr="00E9435E" w:rsidRDefault="00A26ADE" w:rsidP="00A26ADE">
            <w:pPr>
              <w:rPr>
                <w:rFonts w:cs="Arial"/>
                <w:sz w:val="20"/>
                <w:szCs w:val="20"/>
              </w:rPr>
            </w:pPr>
            <w:r w:rsidRPr="00E9435E">
              <w:rPr>
                <w:rFonts w:cs="Arial"/>
                <w:sz w:val="20"/>
                <w:szCs w:val="20"/>
              </w:rPr>
              <w:t>Repair Eligible (RE)</w:t>
            </w:r>
          </w:p>
        </w:tc>
        <w:tc>
          <w:tcPr>
            <w:tcW w:w="7184" w:type="dxa"/>
          </w:tcPr>
          <w:p w14:paraId="35339885" w14:textId="77777777" w:rsidR="00A26ADE" w:rsidRPr="00E9435E" w:rsidRDefault="00A26ADE" w:rsidP="00A26ADE">
            <w:pPr>
              <w:rPr>
                <w:rFonts w:cs="Arial"/>
                <w:sz w:val="20"/>
                <w:szCs w:val="20"/>
              </w:rPr>
            </w:pPr>
            <w:r w:rsidRPr="00E9435E">
              <w:rPr>
                <w:rFonts w:cs="Arial"/>
                <w:sz w:val="20"/>
                <w:szCs w:val="20"/>
              </w:rPr>
              <w:t>See Measure Application Type.</w:t>
            </w:r>
          </w:p>
        </w:tc>
      </w:tr>
      <w:tr w:rsidR="00A26ADE" w:rsidRPr="00E9435E" w14:paraId="42793854" w14:textId="77777777" w:rsidTr="762667E3">
        <w:trPr>
          <w:cantSplit/>
        </w:trPr>
        <w:tc>
          <w:tcPr>
            <w:tcW w:w="2464" w:type="dxa"/>
          </w:tcPr>
          <w:p w14:paraId="182C52CB" w14:textId="77777777" w:rsidR="00A26ADE" w:rsidRPr="00E9435E" w:rsidRDefault="00A26ADE" w:rsidP="00A26ADE">
            <w:pPr>
              <w:rPr>
                <w:rFonts w:cs="Arial"/>
                <w:sz w:val="20"/>
                <w:szCs w:val="20"/>
              </w:rPr>
            </w:pPr>
            <w:r w:rsidRPr="00E9435E">
              <w:rPr>
                <w:rFonts w:cs="Arial"/>
                <w:sz w:val="20"/>
                <w:szCs w:val="20"/>
              </w:rPr>
              <w:t>Repair Indefinitely (RI)</w:t>
            </w:r>
          </w:p>
        </w:tc>
        <w:tc>
          <w:tcPr>
            <w:tcW w:w="7184" w:type="dxa"/>
          </w:tcPr>
          <w:p w14:paraId="7770EE77" w14:textId="77777777" w:rsidR="00A26ADE" w:rsidRPr="00E9435E" w:rsidRDefault="00A26ADE" w:rsidP="00A26ADE">
            <w:pPr>
              <w:rPr>
                <w:rFonts w:cs="Arial"/>
                <w:sz w:val="20"/>
                <w:szCs w:val="20"/>
              </w:rPr>
            </w:pPr>
            <w:r w:rsidRPr="00E9435E">
              <w:rPr>
                <w:rFonts w:cs="Arial"/>
                <w:sz w:val="20"/>
                <w:szCs w:val="20"/>
              </w:rPr>
              <w:t>See Measure Application Type.</w:t>
            </w:r>
          </w:p>
        </w:tc>
      </w:tr>
      <w:tr w:rsidR="00A26ADE" w:rsidRPr="00E9435E" w14:paraId="00E69CAA" w14:textId="77777777" w:rsidTr="762667E3">
        <w:trPr>
          <w:cantSplit/>
        </w:trPr>
        <w:tc>
          <w:tcPr>
            <w:tcW w:w="2464" w:type="dxa"/>
          </w:tcPr>
          <w:p w14:paraId="08692D09" w14:textId="77777777" w:rsidR="00A26ADE" w:rsidRPr="00E9435E" w:rsidRDefault="00A26ADE" w:rsidP="00A26ADE">
            <w:pPr>
              <w:rPr>
                <w:rFonts w:cs="Arial"/>
                <w:sz w:val="20"/>
                <w:szCs w:val="20"/>
              </w:rPr>
            </w:pPr>
            <w:r w:rsidRPr="00E9435E">
              <w:rPr>
                <w:rFonts w:cs="Arial"/>
                <w:sz w:val="20"/>
                <w:szCs w:val="20"/>
              </w:rPr>
              <w:t>Source BTU Consumption</w:t>
            </w:r>
          </w:p>
        </w:tc>
        <w:tc>
          <w:tcPr>
            <w:tcW w:w="7184" w:type="dxa"/>
          </w:tcPr>
          <w:p w14:paraId="45F17A6D" w14:textId="0B595C1E" w:rsidR="00A26ADE" w:rsidRPr="00E9435E" w:rsidRDefault="00A26ADE">
            <w:pPr>
              <w:rPr>
                <w:rFonts w:cs="Arial"/>
                <w:sz w:val="20"/>
                <w:szCs w:val="20"/>
              </w:rPr>
            </w:pPr>
            <w:r w:rsidRPr="00E9435E">
              <w:rPr>
                <w:rFonts w:cs="Arial"/>
                <w:sz w:val="20"/>
                <w:szCs w:val="20"/>
              </w:rPr>
              <w:t xml:space="preserve">Conversion of retail energy forms (kWh, </w:t>
            </w:r>
            <w:proofErr w:type="spellStart"/>
            <w:r w:rsidR="002A12B2">
              <w:rPr>
                <w:rFonts w:cs="Arial"/>
                <w:sz w:val="20"/>
                <w:szCs w:val="20"/>
              </w:rPr>
              <w:t>Therm</w:t>
            </w:r>
            <w:proofErr w:type="spellEnd"/>
            <w:r w:rsidRPr="00E9435E">
              <w:rPr>
                <w:rFonts w:cs="Arial"/>
                <w:sz w:val="20"/>
                <w:szCs w:val="20"/>
              </w:rPr>
              <w:t xml:space="preserve">) into the BTU required to generate and deliver the energy to the site. This conversion is used to compare the relative impacts of switching between fuel sources at the source or BTU level for </w:t>
            </w:r>
            <w:r w:rsidR="00DA7B5B" w:rsidRPr="00E9435E">
              <w:rPr>
                <w:rFonts w:cs="Arial"/>
                <w:sz w:val="20"/>
                <w:szCs w:val="20"/>
              </w:rPr>
              <w:t>the fuel substitution test</w:t>
            </w:r>
            <w:r w:rsidRPr="00E9435E">
              <w:rPr>
                <w:rFonts w:cs="Arial"/>
                <w:sz w:val="20"/>
                <w:szCs w:val="20"/>
              </w:rPr>
              <w:t xml:space="preserve"> required for fuel-substitution programs.</w:t>
            </w:r>
            <w:r w:rsidRPr="00E9435E">
              <w:rPr>
                <w:rStyle w:val="FootnoteReference"/>
                <w:sz w:val="20"/>
                <w:szCs w:val="20"/>
              </w:rPr>
              <w:footnoteReference w:id="58"/>
            </w:r>
          </w:p>
        </w:tc>
      </w:tr>
      <w:tr w:rsidR="00A26ADE" w:rsidRPr="00E9435E" w14:paraId="42EB2965" w14:textId="77777777" w:rsidTr="762667E3">
        <w:trPr>
          <w:cantSplit/>
        </w:trPr>
        <w:tc>
          <w:tcPr>
            <w:tcW w:w="2464" w:type="dxa"/>
          </w:tcPr>
          <w:p w14:paraId="2A14E84C" w14:textId="77777777" w:rsidR="00A26ADE" w:rsidRPr="00E9435E" w:rsidRDefault="00A26ADE" w:rsidP="00A26ADE">
            <w:pPr>
              <w:rPr>
                <w:rFonts w:cs="Arial"/>
                <w:sz w:val="20"/>
                <w:szCs w:val="20"/>
              </w:rPr>
            </w:pPr>
            <w:r w:rsidRPr="00E9435E">
              <w:rPr>
                <w:rFonts w:cs="Arial"/>
                <w:sz w:val="20"/>
                <w:szCs w:val="20"/>
              </w:rPr>
              <w:t>Standard Practice Baseline</w:t>
            </w:r>
          </w:p>
        </w:tc>
        <w:tc>
          <w:tcPr>
            <w:tcW w:w="7184" w:type="dxa"/>
          </w:tcPr>
          <w:p w14:paraId="7F206A79" w14:textId="77777777" w:rsidR="00A26ADE" w:rsidRPr="00E9435E" w:rsidRDefault="00A26ADE" w:rsidP="00A26ADE">
            <w:pPr>
              <w:rPr>
                <w:rFonts w:cs="Arial"/>
                <w:sz w:val="20"/>
                <w:szCs w:val="20"/>
              </w:rPr>
            </w:pPr>
            <w:r w:rsidRPr="00E9435E">
              <w:rPr>
                <w:rFonts w:cs="Arial"/>
                <w:sz w:val="20"/>
                <w:szCs w:val="20"/>
              </w:rPr>
              <w:t xml:space="preserve">A measure or practice used as the baseline for a specific measure that represents what the customer would implement in the absence of program influence or intervention. </w:t>
            </w:r>
          </w:p>
          <w:p w14:paraId="19A19883" w14:textId="77777777" w:rsidR="00A26ADE" w:rsidRPr="00E9435E" w:rsidRDefault="00A26ADE" w:rsidP="00A26ADE">
            <w:pPr>
              <w:rPr>
                <w:rFonts w:cs="Arial"/>
                <w:sz w:val="20"/>
                <w:szCs w:val="20"/>
              </w:rPr>
            </w:pPr>
          </w:p>
          <w:p w14:paraId="67648EB6" w14:textId="77777777" w:rsidR="00A26ADE" w:rsidRPr="00E9435E" w:rsidRDefault="00A26ADE" w:rsidP="00A26ADE">
            <w:pPr>
              <w:rPr>
                <w:rFonts w:cs="Arial"/>
                <w:sz w:val="20"/>
                <w:szCs w:val="20"/>
              </w:rPr>
            </w:pPr>
            <w:r w:rsidRPr="00E9435E">
              <w:rPr>
                <w:rFonts w:cs="Arial"/>
                <w:sz w:val="20"/>
                <w:szCs w:val="20"/>
              </w:rPr>
              <w:t xml:space="preserve">A standard practice can be established from an ISP study, from similar and recent typical activity, or from an analysis of the current viable options applicable to the customer and the customer’s typical decision-making process. </w:t>
            </w:r>
          </w:p>
          <w:p w14:paraId="17C3D401" w14:textId="77777777" w:rsidR="00A26ADE" w:rsidRPr="00E9435E" w:rsidRDefault="00A26ADE" w:rsidP="00A26ADE">
            <w:pPr>
              <w:rPr>
                <w:rFonts w:cs="Arial"/>
                <w:sz w:val="20"/>
                <w:szCs w:val="20"/>
              </w:rPr>
            </w:pPr>
          </w:p>
          <w:p w14:paraId="4EA8F5D1" w14:textId="77777777" w:rsidR="00A26ADE" w:rsidRPr="00E9435E" w:rsidRDefault="00A26ADE" w:rsidP="00A26ADE">
            <w:pPr>
              <w:rPr>
                <w:rFonts w:cs="Arial"/>
                <w:sz w:val="20"/>
                <w:szCs w:val="20"/>
              </w:rPr>
            </w:pPr>
            <w:r w:rsidRPr="00E9435E">
              <w:rPr>
                <w:rFonts w:cs="Arial"/>
                <w:sz w:val="20"/>
                <w:szCs w:val="20"/>
              </w:rPr>
              <w:t xml:space="preserve">Where a standard practice is identified that exceeds the minimum efficiency established by a code or regulation, the standard practice is the appropriate baseline. </w:t>
            </w:r>
          </w:p>
        </w:tc>
      </w:tr>
      <w:tr w:rsidR="00A26ADE" w:rsidRPr="00E9435E" w14:paraId="1857E070" w14:textId="77777777" w:rsidTr="762667E3">
        <w:trPr>
          <w:cantSplit/>
        </w:trPr>
        <w:tc>
          <w:tcPr>
            <w:tcW w:w="2464" w:type="dxa"/>
          </w:tcPr>
          <w:p w14:paraId="1190DB1D" w14:textId="77777777" w:rsidR="00A26ADE" w:rsidRPr="00E9435E" w:rsidRDefault="00A26ADE" w:rsidP="00A26ADE">
            <w:pPr>
              <w:rPr>
                <w:rFonts w:cs="Arial"/>
                <w:sz w:val="20"/>
                <w:szCs w:val="20"/>
              </w:rPr>
            </w:pPr>
            <w:r w:rsidRPr="00E9435E">
              <w:rPr>
                <w:rFonts w:cs="Arial"/>
                <w:sz w:val="20"/>
                <w:szCs w:val="20"/>
              </w:rPr>
              <w:t>Title 24</w:t>
            </w:r>
          </w:p>
        </w:tc>
        <w:tc>
          <w:tcPr>
            <w:tcW w:w="7184" w:type="dxa"/>
          </w:tcPr>
          <w:p w14:paraId="7D3293AA" w14:textId="77777777" w:rsidR="00A26ADE" w:rsidRPr="00E9435E" w:rsidRDefault="00A26ADE" w:rsidP="00A26ADE">
            <w:pPr>
              <w:rPr>
                <w:rFonts w:cs="Arial"/>
                <w:sz w:val="20"/>
                <w:szCs w:val="20"/>
              </w:rPr>
            </w:pPr>
            <w:r w:rsidRPr="00E9435E">
              <w:rPr>
                <w:rFonts w:cs="Arial"/>
                <w:sz w:val="20"/>
                <w:szCs w:val="20"/>
              </w:rPr>
              <w:t>Title 24 of the California Code of Regulations is known as the California Building Standards Code. Part 6 is the California Energy Code.</w:t>
            </w:r>
          </w:p>
        </w:tc>
      </w:tr>
      <w:tr w:rsidR="00A26ADE" w:rsidRPr="00E9435E" w14:paraId="56F5CDC4" w14:textId="77777777" w:rsidTr="762667E3">
        <w:trPr>
          <w:cantSplit/>
        </w:trPr>
        <w:tc>
          <w:tcPr>
            <w:tcW w:w="2464" w:type="dxa"/>
          </w:tcPr>
          <w:p w14:paraId="7E49EFF1" w14:textId="77777777" w:rsidR="00A26ADE" w:rsidRPr="00E9435E" w:rsidRDefault="00A26ADE" w:rsidP="00A26ADE">
            <w:pPr>
              <w:rPr>
                <w:rFonts w:cs="Arial"/>
                <w:sz w:val="20"/>
                <w:szCs w:val="20"/>
              </w:rPr>
            </w:pPr>
            <w:r w:rsidRPr="00E9435E">
              <w:rPr>
                <w:rFonts w:cs="Arial"/>
                <w:sz w:val="20"/>
                <w:szCs w:val="20"/>
              </w:rPr>
              <w:t>To Code</w:t>
            </w:r>
          </w:p>
        </w:tc>
        <w:tc>
          <w:tcPr>
            <w:tcW w:w="7184" w:type="dxa"/>
          </w:tcPr>
          <w:p w14:paraId="7586E6C9" w14:textId="77777777" w:rsidR="00A26ADE" w:rsidRPr="00E9435E" w:rsidRDefault="00A26ADE" w:rsidP="00A26ADE">
            <w:pPr>
              <w:rPr>
                <w:rFonts w:cs="Arial"/>
                <w:sz w:val="20"/>
                <w:szCs w:val="20"/>
              </w:rPr>
            </w:pPr>
            <w:r w:rsidRPr="00E9435E">
              <w:rPr>
                <w:rFonts w:cs="Arial"/>
                <w:sz w:val="20"/>
                <w:szCs w:val="20"/>
              </w:rPr>
              <w:t>Refers to the installation of measures (or the resulting savings) with an efficiency level that complies with (but does not exceed) the current California Title 24 Building Efficiency Standards, Title 20 Appliance Efficiency Regulations, or industry standard practice.</w:t>
            </w:r>
            <w:r w:rsidRPr="00E9435E">
              <w:rPr>
                <w:rStyle w:val="FootnoteReference"/>
                <w:sz w:val="20"/>
                <w:szCs w:val="20"/>
              </w:rPr>
              <w:footnoteReference w:id="59"/>
            </w:r>
          </w:p>
        </w:tc>
      </w:tr>
      <w:tr w:rsidR="00A26ADE" w:rsidRPr="007C505C" w14:paraId="4B94EF7F" w14:textId="77777777" w:rsidTr="762667E3">
        <w:trPr>
          <w:cantSplit/>
        </w:trPr>
        <w:tc>
          <w:tcPr>
            <w:tcW w:w="2464" w:type="dxa"/>
          </w:tcPr>
          <w:p w14:paraId="5245BC5E" w14:textId="77777777" w:rsidR="00A26ADE" w:rsidRPr="00E9435E" w:rsidRDefault="00A26ADE" w:rsidP="00A26ADE">
            <w:pPr>
              <w:rPr>
                <w:rFonts w:cs="Arial"/>
                <w:sz w:val="20"/>
                <w:szCs w:val="20"/>
              </w:rPr>
            </w:pPr>
            <w:r w:rsidRPr="00E9435E">
              <w:rPr>
                <w:rFonts w:cs="Arial"/>
                <w:sz w:val="20"/>
                <w:szCs w:val="20"/>
              </w:rPr>
              <w:t>Weatherization (WEA)</w:t>
            </w:r>
          </w:p>
        </w:tc>
        <w:tc>
          <w:tcPr>
            <w:tcW w:w="7184" w:type="dxa"/>
          </w:tcPr>
          <w:p w14:paraId="58583924" w14:textId="77777777" w:rsidR="00A26ADE" w:rsidRPr="007C505C" w:rsidRDefault="00A26ADE" w:rsidP="00A26ADE">
            <w:pPr>
              <w:rPr>
                <w:rFonts w:cs="Arial"/>
                <w:sz w:val="20"/>
                <w:szCs w:val="20"/>
              </w:rPr>
            </w:pPr>
            <w:r w:rsidRPr="00E9435E">
              <w:rPr>
                <w:rFonts w:cs="Arial"/>
                <w:sz w:val="20"/>
                <w:szCs w:val="20"/>
              </w:rPr>
              <w:t>See Measure Application Types.</w:t>
            </w:r>
          </w:p>
        </w:tc>
      </w:tr>
    </w:tbl>
    <w:p w14:paraId="367E6FD8" w14:textId="2EC4F751" w:rsidR="002335C2" w:rsidRDefault="002335C2">
      <w:pPr>
        <w:spacing w:after="200" w:line="276" w:lineRule="auto"/>
        <w:rPr>
          <w:rFonts w:eastAsiaTheme="majorEastAsia" w:cstheme="majorBidi"/>
          <w:color w:val="00A5DF"/>
          <w:sz w:val="32"/>
          <w:szCs w:val="32"/>
        </w:rPr>
      </w:pPr>
    </w:p>
    <w:p w14:paraId="09B02D9D" w14:textId="77777777" w:rsidR="00531CA2" w:rsidRPr="00531CA2" w:rsidRDefault="00531CA2" w:rsidP="00531CA2"/>
    <w:p w14:paraId="6182330F" w14:textId="77777777" w:rsidR="001C2A17" w:rsidRPr="001C2A17" w:rsidRDefault="001C2A17" w:rsidP="001C2A17">
      <w:pPr>
        <w:rPr>
          <w:color w:val="FF0000"/>
        </w:rPr>
      </w:pPr>
    </w:p>
    <w:sectPr w:rsidR="001C2A17" w:rsidRPr="001C2A17" w:rsidSect="00314153">
      <w:headerReference w:type="default" r:id="rId25"/>
      <w:footerReference w:type="default" r:id="rId2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6D360" w14:textId="77777777" w:rsidR="009D6009" w:rsidRDefault="009D6009" w:rsidP="004E6A08">
      <w:r>
        <w:separator/>
      </w:r>
    </w:p>
  </w:endnote>
  <w:endnote w:type="continuationSeparator" w:id="0">
    <w:p w14:paraId="3284B613" w14:textId="77777777" w:rsidR="009D6009" w:rsidRDefault="009D6009" w:rsidP="004E6A08">
      <w:r>
        <w:continuationSeparator/>
      </w:r>
    </w:p>
  </w:endnote>
  <w:endnote w:type="continuationNotice" w:id="1">
    <w:p w14:paraId="325B6063" w14:textId="77777777" w:rsidR="009D6009" w:rsidRDefault="009D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A13F3" w14:textId="77777777" w:rsidR="003B38BA" w:rsidRDefault="003B38BA" w:rsidP="00CD2343">
    <w:pPr>
      <w:pStyle w:val="Footer"/>
      <w:rPr>
        <w:rFonts w:asciiTheme="minorHAnsi" w:eastAsia="Times New Roman" w:hAnsiTheme="minorHAnsi" w:cs="Arial"/>
        <w:color w:val="00A5DF" w:themeColor="accent1"/>
        <w:sz w:val="20"/>
        <w:szCs w:val="20"/>
      </w:rPr>
    </w:pPr>
    <w:bookmarkStart w:id="1" w:name="_Hlk500416868"/>
    <w:r>
      <w:ptab w:relativeTo="margin" w:alignment="center" w:leader="none"/>
    </w:r>
  </w:p>
  <w:bookmarkEnd w:id="1"/>
  <w:p w14:paraId="6EBC3CA6" w14:textId="77777777" w:rsidR="003B38BA" w:rsidRDefault="003B3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657D8" w14:textId="77777777" w:rsidR="003B38BA" w:rsidRDefault="003B38BA" w:rsidP="00A03D15">
    <w:pPr>
      <w:pStyle w:val="Footer"/>
      <w:jc w:val="center"/>
      <w:rPr>
        <w:rFonts w:asciiTheme="minorHAnsi" w:eastAsia="Times New Roman" w:hAnsiTheme="minorHAnsi" w:cs="Arial"/>
        <w:color w:val="00A5DF" w:themeColor="accent1"/>
        <w:sz w:val="20"/>
        <w:szCs w:val="20"/>
      </w:rPr>
    </w:pPr>
    <w:r>
      <w:rPr>
        <w:rFonts w:asciiTheme="minorHAnsi" w:eastAsia="Times New Roman" w:hAnsiTheme="minorHAnsi" w:cs="Arial"/>
        <w:color w:val="00A5DF" w:themeColor="accent1"/>
        <w:sz w:val="20"/>
        <w:szCs w:val="20"/>
      </w:rPr>
      <w:t xml:space="preserve"> </w:t>
    </w:r>
  </w:p>
  <w:p w14:paraId="7704D2A1" w14:textId="77777777" w:rsidR="003B38BA" w:rsidRPr="001847F2" w:rsidRDefault="003B38BA" w:rsidP="00A91687">
    <w:pPr>
      <w:pStyle w:val="Footer"/>
    </w:pPr>
  </w:p>
  <w:p w14:paraId="0F11708A" w14:textId="77777777" w:rsidR="003B38BA" w:rsidRPr="00673B30" w:rsidRDefault="003B38BA" w:rsidP="00673B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F3BC0" w14:textId="77777777" w:rsidR="003B38BA" w:rsidRDefault="003B38BA">
    <w:pPr>
      <w:pStyle w:val="Footer"/>
      <w:jc w:val="right"/>
    </w:pPr>
    <w:bookmarkStart w:id="4" w:name="_Toc951111"/>
  </w:p>
  <w:p w14:paraId="499451E3" w14:textId="6003E6AC" w:rsidR="003B38BA" w:rsidRDefault="003B38BA" w:rsidP="00287B04">
    <w:pPr>
      <w:pStyle w:val="Footer"/>
      <w:jc w:val="center"/>
    </w:pPr>
    <w:r>
      <w:fldChar w:fldCharType="begin"/>
    </w:r>
    <w:r>
      <w:instrText xml:space="preserve"> TITLE   \* MERGEFORMAT </w:instrText>
    </w:r>
    <w:r>
      <w:fldChar w:fldCharType="separate"/>
    </w:r>
    <w:r>
      <w:t>Fuel Substitution Technical Guidance</w:t>
    </w:r>
  </w:p>
  <w:p w14:paraId="60541BA0" w14:textId="03E6D55F" w:rsidR="003B38BA" w:rsidRDefault="003B38BA" w:rsidP="00496018">
    <w:pPr>
      <w:pStyle w:val="Footer"/>
      <w:jc w:val="center"/>
    </w:pPr>
    <w:r>
      <w:fldChar w:fldCharType="end"/>
    </w:r>
  </w:p>
  <w:p w14:paraId="15B4B207" w14:textId="75AB0A9D" w:rsidR="003B38BA" w:rsidRDefault="0027746D" w:rsidP="00496018">
    <w:pPr>
      <w:pStyle w:val="Footer"/>
      <w:jc w:val="center"/>
    </w:pPr>
    <w:r>
      <w:t>Version 1.1</w:t>
    </w:r>
  </w:p>
  <w:p w14:paraId="501E7568" w14:textId="77777777" w:rsidR="003B38BA" w:rsidRPr="00494D51" w:rsidRDefault="003B38BA" w:rsidP="00496018">
    <w:pPr>
      <w:pStyle w:val="Footer"/>
      <w:jc w:val="center"/>
      <w:rPr>
        <w:rFonts w:asciiTheme="minorHAnsi" w:eastAsia="Times New Roman" w:hAnsiTheme="minorHAnsi" w:cs="Arial"/>
        <w:color w:val="00A5DF" w:themeColor="accent1"/>
        <w:sz w:val="20"/>
        <w:szCs w:val="20"/>
      </w:rPr>
    </w:pPr>
    <w:r>
      <w:rPr>
        <w:rFonts w:asciiTheme="minorHAnsi" w:eastAsia="Times New Roman" w:hAnsiTheme="minorHAnsi" w:cs="Arial"/>
        <w:color w:val="00A5DF" w:themeColor="accent1"/>
      </w:rPr>
      <w:tab/>
    </w:r>
    <w:r>
      <w:rPr>
        <w:rFonts w:asciiTheme="minorHAnsi" w:eastAsia="Times New Roman" w:hAnsiTheme="minorHAnsi" w:cs="Arial"/>
        <w:color w:val="00A5DF" w:themeColor="accent1"/>
      </w:rPr>
      <w:tab/>
    </w:r>
  </w:p>
  <w:bookmarkEnd w:id="4"/>
  <w:p w14:paraId="3B8AFFD5" w14:textId="77777777" w:rsidR="003B38BA" w:rsidRDefault="003B38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0880D" w14:textId="124BC741" w:rsidR="003B38BA" w:rsidRDefault="003B38BA" w:rsidP="00287B04">
    <w:pPr>
      <w:pStyle w:val="Footer"/>
      <w:jc w:val="center"/>
    </w:pPr>
    <w:r>
      <w:t>Fuel Substitution Technical Guidance</w:t>
    </w:r>
  </w:p>
  <w:p w14:paraId="4AD2DD48" w14:textId="2BFD8E58" w:rsidR="0027746D" w:rsidRDefault="0027746D" w:rsidP="0027746D">
    <w:pPr>
      <w:pStyle w:val="Footer"/>
      <w:jc w:val="center"/>
    </w:pPr>
    <w:r>
      <w:t>Version 1.1</w:t>
    </w:r>
  </w:p>
  <w:p w14:paraId="5914FF1A" w14:textId="4C38887B" w:rsidR="003B38BA" w:rsidRPr="00494D51" w:rsidRDefault="003B38BA" w:rsidP="00496018">
    <w:pPr>
      <w:pStyle w:val="Footer"/>
      <w:jc w:val="center"/>
      <w:rPr>
        <w:rFonts w:asciiTheme="minorHAnsi" w:eastAsia="Times New Roman" w:hAnsiTheme="minorHAnsi" w:cs="Arial"/>
        <w:color w:val="00A5DF" w:themeColor="accent1"/>
        <w:sz w:val="20"/>
        <w:szCs w:val="20"/>
      </w:rPr>
    </w:pPr>
    <w:r>
      <w:rPr>
        <w:rFonts w:asciiTheme="minorHAnsi" w:eastAsia="Times New Roman" w:hAnsiTheme="minorHAnsi" w:cs="Arial"/>
        <w:color w:val="00A5DF" w:themeColor="accent1"/>
      </w:rPr>
      <w:tab/>
    </w:r>
    <w:r>
      <w:rPr>
        <w:rFonts w:asciiTheme="minorHAnsi" w:eastAsia="Times New Roman" w:hAnsiTheme="minorHAnsi" w:cs="Arial"/>
        <w:color w:val="00A5DF" w:themeColor="accent1"/>
      </w:rPr>
      <w:tab/>
    </w:r>
    <w:r>
      <w:rPr>
        <w:color w:val="00A5DF" w:themeColor="accent1"/>
        <w:sz w:val="20"/>
        <w:szCs w:val="20"/>
      </w:rPr>
      <w:fldChar w:fldCharType="begin"/>
    </w:r>
    <w:r>
      <w:rPr>
        <w:color w:val="00A5DF" w:themeColor="accent1"/>
        <w:sz w:val="20"/>
        <w:szCs w:val="20"/>
      </w:rPr>
      <w:instrText xml:space="preserve"> PAGE   \* MERGEFORMAT </w:instrText>
    </w:r>
    <w:r>
      <w:rPr>
        <w:color w:val="00A5DF" w:themeColor="accent1"/>
        <w:sz w:val="20"/>
        <w:szCs w:val="20"/>
      </w:rPr>
      <w:fldChar w:fldCharType="separate"/>
    </w:r>
    <w:r>
      <w:rPr>
        <w:noProof/>
        <w:color w:val="00A5DF" w:themeColor="accent1"/>
        <w:sz w:val="20"/>
        <w:szCs w:val="20"/>
      </w:rPr>
      <w:t>13</w:t>
    </w:r>
    <w:r>
      <w:rPr>
        <w:color w:val="00A5DF" w:themeColor="accent1"/>
        <w:sz w:val="20"/>
        <w:szCs w:val="20"/>
      </w:rPr>
      <w:fldChar w:fldCharType="end"/>
    </w:r>
    <w:r>
      <w:rPr>
        <w:color w:val="00A5DF" w:themeColor="accent1"/>
        <w:sz w:val="20"/>
        <w:szCs w:val="20"/>
      </w:rPr>
      <w:t xml:space="preserve"> of </w:t>
    </w:r>
    <w:r>
      <w:rPr>
        <w:color w:val="00A5DF" w:themeColor="accent1"/>
        <w:sz w:val="20"/>
        <w:szCs w:val="20"/>
      </w:rPr>
      <w:fldChar w:fldCharType="begin"/>
    </w:r>
    <w:r>
      <w:rPr>
        <w:color w:val="00A5DF" w:themeColor="accent1"/>
        <w:sz w:val="20"/>
        <w:szCs w:val="20"/>
      </w:rPr>
      <w:instrText xml:space="preserve"> =</w:instrText>
    </w:r>
    <w:r>
      <w:rPr>
        <w:color w:val="00A5DF" w:themeColor="accent1"/>
        <w:sz w:val="20"/>
        <w:szCs w:val="20"/>
      </w:rPr>
      <w:fldChar w:fldCharType="begin"/>
    </w:r>
    <w:r>
      <w:rPr>
        <w:color w:val="00A5DF" w:themeColor="accent1"/>
        <w:sz w:val="20"/>
        <w:szCs w:val="20"/>
      </w:rPr>
      <w:instrText xml:space="preserve"> NUMPAGES   \* MERGEFORMAT </w:instrText>
    </w:r>
    <w:r>
      <w:rPr>
        <w:color w:val="00A5DF" w:themeColor="accent1"/>
        <w:sz w:val="20"/>
        <w:szCs w:val="20"/>
      </w:rPr>
      <w:fldChar w:fldCharType="separate"/>
    </w:r>
    <w:r w:rsidR="007C06CA">
      <w:rPr>
        <w:noProof/>
        <w:color w:val="00A5DF" w:themeColor="accent1"/>
        <w:sz w:val="20"/>
        <w:szCs w:val="20"/>
      </w:rPr>
      <w:instrText>33</w:instrText>
    </w:r>
    <w:r>
      <w:rPr>
        <w:color w:val="00A5DF" w:themeColor="accent1"/>
        <w:sz w:val="20"/>
        <w:szCs w:val="20"/>
      </w:rPr>
      <w:fldChar w:fldCharType="end"/>
    </w:r>
    <w:r>
      <w:rPr>
        <w:color w:val="00A5DF" w:themeColor="accent1"/>
        <w:sz w:val="20"/>
        <w:szCs w:val="20"/>
      </w:rPr>
      <w:instrText xml:space="preserve">-3 </w:instrText>
    </w:r>
    <w:r>
      <w:rPr>
        <w:color w:val="00A5DF" w:themeColor="accent1"/>
        <w:sz w:val="20"/>
        <w:szCs w:val="20"/>
      </w:rPr>
      <w:fldChar w:fldCharType="separate"/>
    </w:r>
    <w:r w:rsidR="007C06CA">
      <w:rPr>
        <w:noProof/>
        <w:color w:val="00A5DF" w:themeColor="accent1"/>
        <w:sz w:val="20"/>
        <w:szCs w:val="20"/>
      </w:rPr>
      <w:t>30</w:t>
    </w:r>
    <w:r>
      <w:rPr>
        <w:color w:val="00A5DF" w:themeColor="accent1"/>
        <w:sz w:val="20"/>
        <w:szCs w:val="20"/>
      </w:rPr>
      <w:fldChar w:fldCharType="end"/>
    </w:r>
  </w:p>
  <w:p w14:paraId="158B7625" w14:textId="77777777" w:rsidR="003B38BA" w:rsidRDefault="003B38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F3A38" w14:textId="77777777" w:rsidR="003B38BA" w:rsidRDefault="00DB138E" w:rsidP="0065501A">
    <w:pPr>
      <w:pStyle w:val="Footer"/>
      <w:jc w:val="center"/>
    </w:pPr>
    <w:fldSimple w:instr=" TITLE   \* MERGEFORMAT ">
      <w:r w:rsidR="003B38BA">
        <w:t>Statewide Deemed Workpaper Rulebook</w:t>
      </w:r>
    </w:fldSimple>
    <w:r w:rsidR="003B38BA">
      <w:t>,</w:t>
    </w:r>
  </w:p>
  <w:p w14:paraId="7ED934C1" w14:textId="77777777" w:rsidR="003B38BA" w:rsidRDefault="00DB138E" w:rsidP="0065501A">
    <w:pPr>
      <w:pStyle w:val="Footer"/>
      <w:jc w:val="center"/>
    </w:pPr>
    <w:fldSimple w:instr=" SUBJECT   \* MERGEFORMAT ">
      <w:r w:rsidR="003B38BA">
        <w:t>Version 1.0</w:t>
      </w:r>
    </w:fldSimple>
  </w:p>
  <w:p w14:paraId="6DC9DC14" w14:textId="77777777" w:rsidR="003B38BA" w:rsidRPr="00886169" w:rsidRDefault="003B38BA" w:rsidP="0065501A">
    <w:pPr>
      <w:pStyle w:val="Footer"/>
      <w:jc w:val="center"/>
      <w:rPr>
        <w:rFonts w:asciiTheme="minorHAnsi" w:eastAsia="Times New Roman" w:hAnsiTheme="minorHAnsi" w:cs="Arial"/>
        <w:color w:val="00A5DF" w:themeColor="accent1"/>
        <w:sz w:val="20"/>
        <w:szCs w:val="20"/>
      </w:rPr>
    </w:pPr>
    <w:r>
      <w:rPr>
        <w:rFonts w:asciiTheme="minorHAnsi" w:eastAsia="Times New Roman" w:hAnsiTheme="minorHAnsi" w:cs="Arial"/>
        <w:color w:val="00A5DF" w:themeColor="accent1"/>
      </w:rPr>
      <w:tab/>
    </w:r>
    <w:r>
      <w:rPr>
        <w:rFonts w:asciiTheme="minorHAnsi" w:eastAsia="Times New Roman" w:hAnsiTheme="minorHAnsi" w:cs="Arial"/>
        <w:color w:val="00A5DF" w:themeColor="accent1"/>
      </w:rPr>
      <w:fldChar w:fldCharType="begin"/>
    </w:r>
    <w:r>
      <w:rPr>
        <w:rFonts w:asciiTheme="minorHAnsi" w:eastAsia="Times New Roman" w:hAnsiTheme="minorHAnsi" w:cs="Arial"/>
        <w:color w:val="00A5DF" w:themeColor="accent1"/>
      </w:rPr>
      <w:instrText xml:space="preserve"> STYLEREF  "Heading 1" \n  \* MERGEFORMAT </w:instrText>
    </w:r>
    <w:r>
      <w:rPr>
        <w:rFonts w:asciiTheme="minorHAnsi" w:eastAsia="Times New Roman" w:hAnsiTheme="minorHAnsi" w:cs="Arial"/>
        <w:color w:val="00A5DF" w:themeColor="accent1"/>
      </w:rPr>
      <w:fldChar w:fldCharType="separate"/>
    </w:r>
    <w:r>
      <w:rPr>
        <w:rFonts w:asciiTheme="minorHAnsi" w:eastAsia="Times New Roman" w:hAnsiTheme="minorHAnsi" w:cs="Arial"/>
        <w:noProof/>
        <w:color w:val="00A5DF" w:themeColor="accent1"/>
      </w:rPr>
      <w:t>Chapter 1</w:t>
    </w:r>
    <w:r>
      <w:rPr>
        <w:rFonts w:asciiTheme="minorHAnsi" w:eastAsia="Times New Roman" w:hAnsiTheme="minorHAnsi" w:cs="Arial"/>
        <w:color w:val="00A5DF" w:themeColor="accent1"/>
      </w:rPr>
      <w:fldChar w:fldCharType="end"/>
    </w:r>
    <w:r>
      <w:rPr>
        <w:rFonts w:asciiTheme="minorHAnsi" w:eastAsia="Times New Roman" w:hAnsiTheme="minorHAnsi" w:cs="Arial"/>
        <w:color w:val="00A5DF" w:themeColor="accent1"/>
      </w:rPr>
      <w:t xml:space="preserve"> - </w:t>
    </w:r>
    <w:r>
      <w:rPr>
        <w:rFonts w:asciiTheme="minorHAnsi" w:eastAsia="Times New Roman" w:hAnsiTheme="minorHAnsi" w:cs="Arial"/>
        <w:color w:val="00A5DF" w:themeColor="accent1"/>
      </w:rPr>
      <w:fldChar w:fldCharType="begin"/>
    </w:r>
    <w:r>
      <w:rPr>
        <w:rFonts w:asciiTheme="minorHAnsi" w:eastAsia="Times New Roman" w:hAnsiTheme="minorHAnsi" w:cs="Arial"/>
        <w:color w:val="00A5DF" w:themeColor="accent1"/>
      </w:rPr>
      <w:instrText xml:space="preserve"> STYLEREF "Heading 1" \* MERGEFORMAT </w:instrText>
    </w:r>
    <w:r>
      <w:rPr>
        <w:rFonts w:asciiTheme="minorHAnsi" w:eastAsia="Times New Roman" w:hAnsiTheme="minorHAnsi" w:cs="Arial"/>
        <w:color w:val="00A5DF" w:themeColor="accent1"/>
      </w:rPr>
      <w:fldChar w:fldCharType="separate"/>
    </w:r>
    <w:r>
      <w:rPr>
        <w:rFonts w:asciiTheme="minorHAnsi" w:eastAsia="Times New Roman" w:hAnsiTheme="minorHAnsi" w:cs="Arial"/>
        <w:noProof/>
        <w:color w:val="00A5DF" w:themeColor="accent1"/>
      </w:rPr>
      <w:t>Introduction</w:t>
    </w:r>
    <w:r>
      <w:rPr>
        <w:rFonts w:asciiTheme="minorHAnsi" w:eastAsia="Times New Roman" w:hAnsiTheme="minorHAnsi" w:cs="Arial"/>
        <w:color w:val="00A5DF" w:themeColor="accent1"/>
      </w:rPr>
      <w:fldChar w:fldCharType="end"/>
    </w:r>
    <w:r>
      <w:rPr>
        <w:rFonts w:asciiTheme="minorHAnsi" w:eastAsia="Times New Roman" w:hAnsiTheme="minorHAnsi" w:cs="Arial"/>
        <w:color w:val="00A5DF" w:themeColor="accent1"/>
      </w:rPr>
      <w:tab/>
    </w:r>
    <w:r>
      <w:rPr>
        <w:color w:val="00A5DF" w:themeColor="accent1"/>
        <w:sz w:val="20"/>
        <w:szCs w:val="20"/>
      </w:rPr>
      <w:fldChar w:fldCharType="begin"/>
    </w:r>
    <w:r>
      <w:rPr>
        <w:color w:val="00A5DF" w:themeColor="accent1"/>
        <w:sz w:val="20"/>
        <w:szCs w:val="20"/>
      </w:rPr>
      <w:instrText xml:space="preserve"> PAGE   \* MERGEFORMAT </w:instrText>
    </w:r>
    <w:r>
      <w:rPr>
        <w:color w:val="00A5DF" w:themeColor="accent1"/>
        <w:sz w:val="20"/>
        <w:szCs w:val="20"/>
      </w:rPr>
      <w:fldChar w:fldCharType="separate"/>
    </w:r>
    <w:r>
      <w:rPr>
        <w:noProof/>
        <w:color w:val="00A5DF" w:themeColor="accent1"/>
        <w:sz w:val="20"/>
        <w:szCs w:val="20"/>
      </w:rPr>
      <w:t>62</w:t>
    </w:r>
    <w:r>
      <w:rPr>
        <w:color w:val="00A5DF" w:themeColor="accent1"/>
        <w:sz w:val="20"/>
        <w:szCs w:val="20"/>
      </w:rPr>
      <w:fldChar w:fldCharType="end"/>
    </w:r>
    <w:r>
      <w:rPr>
        <w:color w:val="00A5DF" w:themeColor="accent1"/>
        <w:sz w:val="20"/>
        <w:szCs w:val="20"/>
      </w:rPr>
      <w:t xml:space="preserve"> of </w:t>
    </w:r>
    <w:r>
      <w:rPr>
        <w:color w:val="00A5DF" w:themeColor="accent1"/>
        <w:sz w:val="20"/>
        <w:szCs w:val="20"/>
      </w:rPr>
      <w:fldChar w:fldCharType="begin"/>
    </w:r>
    <w:r>
      <w:rPr>
        <w:color w:val="00A5DF" w:themeColor="accent1"/>
        <w:sz w:val="20"/>
        <w:szCs w:val="20"/>
      </w:rPr>
      <w:instrText xml:space="preserve"> =</w:instrText>
    </w:r>
    <w:r>
      <w:rPr>
        <w:color w:val="00A5DF" w:themeColor="accent1"/>
        <w:sz w:val="20"/>
        <w:szCs w:val="20"/>
      </w:rPr>
      <w:fldChar w:fldCharType="begin"/>
    </w:r>
    <w:r>
      <w:rPr>
        <w:color w:val="00A5DF" w:themeColor="accent1"/>
        <w:sz w:val="20"/>
        <w:szCs w:val="20"/>
      </w:rPr>
      <w:instrText xml:space="preserve"> NUMPAGES   \* MERGEFORMAT </w:instrText>
    </w:r>
    <w:r>
      <w:rPr>
        <w:color w:val="00A5DF" w:themeColor="accent1"/>
        <w:sz w:val="20"/>
        <w:szCs w:val="20"/>
      </w:rPr>
      <w:fldChar w:fldCharType="separate"/>
    </w:r>
    <w:r>
      <w:rPr>
        <w:noProof/>
        <w:color w:val="00A5DF" w:themeColor="accent1"/>
        <w:sz w:val="20"/>
        <w:szCs w:val="20"/>
      </w:rPr>
      <w:instrText>69</w:instrText>
    </w:r>
    <w:r>
      <w:rPr>
        <w:color w:val="00A5DF" w:themeColor="accent1"/>
        <w:sz w:val="20"/>
        <w:szCs w:val="20"/>
      </w:rPr>
      <w:fldChar w:fldCharType="end"/>
    </w:r>
    <w:r>
      <w:rPr>
        <w:color w:val="00A5DF" w:themeColor="accent1"/>
        <w:sz w:val="20"/>
        <w:szCs w:val="20"/>
      </w:rPr>
      <w:instrText xml:space="preserve">-4 </w:instrText>
    </w:r>
    <w:r>
      <w:rPr>
        <w:color w:val="00A5DF" w:themeColor="accent1"/>
        <w:sz w:val="20"/>
        <w:szCs w:val="20"/>
      </w:rPr>
      <w:fldChar w:fldCharType="separate"/>
    </w:r>
    <w:r>
      <w:rPr>
        <w:noProof/>
        <w:color w:val="00A5DF" w:themeColor="accent1"/>
        <w:sz w:val="20"/>
        <w:szCs w:val="20"/>
      </w:rPr>
      <w:t>65</w:t>
    </w:r>
    <w:r>
      <w:rPr>
        <w:color w:val="00A5DF" w:themeColor="accent1"/>
        <w:sz w:val="20"/>
        <w:szCs w:val="20"/>
      </w:rPr>
      <w:fldChar w:fldCharType="end"/>
    </w:r>
  </w:p>
  <w:p w14:paraId="740CD0CA" w14:textId="77777777" w:rsidR="003B38BA" w:rsidRPr="001847F2" w:rsidRDefault="003B38BA" w:rsidP="0065501A">
    <w:pPr>
      <w:pStyle w:val="Footer"/>
    </w:pPr>
  </w:p>
  <w:p w14:paraId="2AB2DA62" w14:textId="77777777" w:rsidR="003B38BA" w:rsidRPr="00673B30" w:rsidRDefault="003B38BA" w:rsidP="00673B3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07885" w14:textId="77777777" w:rsidR="003B38BA" w:rsidRDefault="003B38BA" w:rsidP="007374A8">
    <w:pPr>
      <w:pStyle w:val="Footer"/>
      <w:jc w:val="center"/>
    </w:pPr>
    <w:r>
      <w:t>Fuel Substitution Technical Guidance</w:t>
    </w:r>
  </w:p>
  <w:p w14:paraId="7B0BE811" w14:textId="77777777" w:rsidR="003B38BA" w:rsidRDefault="00DB138E" w:rsidP="00886169">
    <w:pPr>
      <w:pStyle w:val="Footer"/>
      <w:jc w:val="center"/>
    </w:pPr>
    <w:fldSimple w:instr=" SUBJECT   \* MERGEFORMAT ">
      <w:r w:rsidR="003B38BA">
        <w:t>Version 1.0</w:t>
      </w:r>
    </w:fldSimple>
  </w:p>
  <w:p w14:paraId="12D2D0DC" w14:textId="6B8D60A8" w:rsidR="003B38BA" w:rsidRPr="00494D51" w:rsidRDefault="003B38BA" w:rsidP="00494D51">
    <w:pPr>
      <w:pStyle w:val="Footer"/>
      <w:jc w:val="center"/>
      <w:rPr>
        <w:rFonts w:asciiTheme="minorHAnsi" w:eastAsia="Times New Roman" w:hAnsiTheme="minorHAnsi" w:cs="Arial"/>
        <w:color w:val="00A5DF" w:themeColor="accent1"/>
        <w:sz w:val="20"/>
        <w:szCs w:val="20"/>
      </w:rPr>
    </w:pPr>
    <w:r>
      <w:rPr>
        <w:rFonts w:asciiTheme="minorHAnsi" w:eastAsia="Times New Roman" w:hAnsiTheme="minorHAnsi" w:cs="Arial"/>
        <w:color w:val="00A5DF" w:themeColor="accent1"/>
      </w:rPr>
      <w:tab/>
    </w:r>
    <w:r>
      <w:rPr>
        <w:rFonts w:asciiTheme="minorHAnsi" w:eastAsia="Times New Roman" w:hAnsiTheme="minorHAnsi" w:cs="Arial"/>
        <w:color w:val="00A5DF" w:themeColor="accent1"/>
      </w:rPr>
      <w:tab/>
    </w:r>
    <w:r>
      <w:rPr>
        <w:color w:val="00A5DF" w:themeColor="accent1"/>
        <w:sz w:val="20"/>
        <w:szCs w:val="20"/>
      </w:rPr>
      <w:fldChar w:fldCharType="begin"/>
    </w:r>
    <w:r>
      <w:rPr>
        <w:color w:val="00A5DF" w:themeColor="accent1"/>
        <w:sz w:val="20"/>
        <w:szCs w:val="20"/>
      </w:rPr>
      <w:instrText xml:space="preserve"> PAGE   \* MERGEFORMAT </w:instrText>
    </w:r>
    <w:r>
      <w:rPr>
        <w:color w:val="00A5DF" w:themeColor="accent1"/>
        <w:sz w:val="20"/>
        <w:szCs w:val="20"/>
      </w:rPr>
      <w:fldChar w:fldCharType="separate"/>
    </w:r>
    <w:r>
      <w:rPr>
        <w:noProof/>
        <w:color w:val="00A5DF" w:themeColor="accent1"/>
        <w:sz w:val="20"/>
        <w:szCs w:val="20"/>
      </w:rPr>
      <w:t>21</w:t>
    </w:r>
    <w:r>
      <w:rPr>
        <w:color w:val="00A5DF" w:themeColor="accent1"/>
        <w:sz w:val="20"/>
        <w:szCs w:val="20"/>
      </w:rPr>
      <w:fldChar w:fldCharType="end"/>
    </w:r>
    <w:r>
      <w:rPr>
        <w:color w:val="00A5DF" w:themeColor="accent1"/>
        <w:sz w:val="20"/>
        <w:szCs w:val="20"/>
      </w:rPr>
      <w:t xml:space="preserve"> of </w:t>
    </w:r>
    <w:r>
      <w:rPr>
        <w:color w:val="00A5DF" w:themeColor="accent1"/>
        <w:sz w:val="20"/>
        <w:szCs w:val="20"/>
      </w:rPr>
      <w:fldChar w:fldCharType="begin"/>
    </w:r>
    <w:r>
      <w:rPr>
        <w:color w:val="00A5DF" w:themeColor="accent1"/>
        <w:sz w:val="20"/>
        <w:szCs w:val="20"/>
      </w:rPr>
      <w:instrText xml:space="preserve"> =</w:instrText>
    </w:r>
    <w:r>
      <w:rPr>
        <w:color w:val="00A5DF" w:themeColor="accent1"/>
        <w:sz w:val="20"/>
        <w:szCs w:val="20"/>
      </w:rPr>
      <w:fldChar w:fldCharType="begin"/>
    </w:r>
    <w:r>
      <w:rPr>
        <w:color w:val="00A5DF" w:themeColor="accent1"/>
        <w:sz w:val="20"/>
        <w:szCs w:val="20"/>
      </w:rPr>
      <w:instrText xml:space="preserve"> NUMPAGES   \* MERGEFORMAT </w:instrText>
    </w:r>
    <w:r>
      <w:rPr>
        <w:color w:val="00A5DF" w:themeColor="accent1"/>
        <w:sz w:val="20"/>
        <w:szCs w:val="20"/>
      </w:rPr>
      <w:fldChar w:fldCharType="separate"/>
    </w:r>
    <w:r w:rsidR="007C06CA">
      <w:rPr>
        <w:noProof/>
        <w:color w:val="00A5DF" w:themeColor="accent1"/>
        <w:sz w:val="20"/>
        <w:szCs w:val="20"/>
      </w:rPr>
      <w:instrText>33</w:instrText>
    </w:r>
    <w:r>
      <w:rPr>
        <w:color w:val="00A5DF" w:themeColor="accent1"/>
        <w:sz w:val="20"/>
        <w:szCs w:val="20"/>
      </w:rPr>
      <w:fldChar w:fldCharType="end"/>
    </w:r>
    <w:r>
      <w:rPr>
        <w:color w:val="00A5DF" w:themeColor="accent1"/>
        <w:sz w:val="20"/>
        <w:szCs w:val="20"/>
      </w:rPr>
      <w:instrText xml:space="preserve">-3 </w:instrText>
    </w:r>
    <w:r>
      <w:rPr>
        <w:color w:val="00A5DF" w:themeColor="accent1"/>
        <w:sz w:val="20"/>
        <w:szCs w:val="20"/>
      </w:rPr>
      <w:fldChar w:fldCharType="separate"/>
    </w:r>
    <w:r w:rsidR="007C06CA">
      <w:rPr>
        <w:noProof/>
        <w:color w:val="00A5DF" w:themeColor="accent1"/>
        <w:sz w:val="20"/>
        <w:szCs w:val="20"/>
      </w:rPr>
      <w:t>30</w:t>
    </w:r>
    <w:r>
      <w:rPr>
        <w:color w:val="00A5DF"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8704D" w14:textId="77777777" w:rsidR="009D6009" w:rsidRDefault="009D6009" w:rsidP="004E6A08">
      <w:r>
        <w:separator/>
      </w:r>
    </w:p>
  </w:footnote>
  <w:footnote w:type="continuationSeparator" w:id="0">
    <w:p w14:paraId="349C9458" w14:textId="77777777" w:rsidR="009D6009" w:rsidRDefault="009D6009" w:rsidP="004E6A08">
      <w:r>
        <w:continuationSeparator/>
      </w:r>
    </w:p>
  </w:footnote>
  <w:footnote w:type="continuationNotice" w:id="1">
    <w:p w14:paraId="24E0933C" w14:textId="77777777" w:rsidR="009D6009" w:rsidRDefault="009D6009"/>
  </w:footnote>
  <w:footnote w:id="2">
    <w:p w14:paraId="6786F5C3" w14:textId="29274BD8" w:rsidR="007C06CA" w:rsidRDefault="007C06CA">
      <w:pPr>
        <w:pStyle w:val="FootnoteText"/>
      </w:pPr>
      <w:r>
        <w:rPr>
          <w:rStyle w:val="FootnoteReference"/>
        </w:rPr>
        <w:footnoteRef/>
      </w:r>
      <w:r>
        <w:t xml:space="preserve"> </w:t>
      </w:r>
      <w:hyperlink r:id="rId1" w:history="1">
        <w:r w:rsidRPr="00752D62">
          <w:rPr>
            <w:rStyle w:val="Hyperlink"/>
          </w:rPr>
          <w:t>https://www.cpuc.ca.gov/General.aspx?id=6442463306</w:t>
        </w:r>
      </w:hyperlink>
      <w:r>
        <w:t xml:space="preserve"> </w:t>
      </w:r>
      <w:bookmarkStart w:id="9" w:name="_GoBack"/>
      <w:bookmarkEnd w:id="9"/>
    </w:p>
  </w:footnote>
  <w:footnote w:id="3">
    <w:p w14:paraId="402E4382" w14:textId="77777777" w:rsidR="003B38BA" w:rsidRDefault="003B38BA" w:rsidP="00CD798E">
      <w:pPr>
        <w:pStyle w:val="FootnoteText"/>
      </w:pPr>
      <w:r>
        <w:rPr>
          <w:rStyle w:val="FootnoteReference"/>
        </w:rPr>
        <w:footnoteRef/>
      </w:r>
      <w:r>
        <w:t xml:space="preserve"> CPUC Decision 19-08-009, 5 Aug. 2019 per rulemaking proceedings </w:t>
      </w:r>
      <w:r w:rsidRPr="00220EB9">
        <w:t xml:space="preserve">R1311005 </w:t>
      </w:r>
      <w:r>
        <w:t>(</w:t>
      </w:r>
      <w:hyperlink r:id="rId2" w:history="1">
        <w:r>
          <w:rPr>
            <w:rStyle w:val="Hyperlink"/>
          </w:rPr>
          <w:t>https://apps.cpuc.ca.gov/apex/f?p=401:56:0::NO:RP,57,RIR:P5_PROCEEDING_SELECT:R1311005</w:t>
        </w:r>
      </w:hyperlink>
      <w:r>
        <w:t xml:space="preserve">) and can be located via the CPUC Document search, </w:t>
      </w:r>
      <w:hyperlink r:id="rId3" w:history="1">
        <w:r>
          <w:rPr>
            <w:rStyle w:val="Hyperlink"/>
          </w:rPr>
          <w:t>http://docs.cpuc.ca.gov/SearchRes.aspx?DocFormat=ALL&amp;DocID=310159146</w:t>
        </w:r>
      </w:hyperlink>
      <w:r>
        <w:t xml:space="preserve"> </w:t>
      </w:r>
    </w:p>
  </w:footnote>
  <w:footnote w:id="4">
    <w:p w14:paraId="49E09AE8" w14:textId="77777777" w:rsidR="003B38BA" w:rsidRDefault="003B38BA" w:rsidP="00CD798E">
      <w:pPr>
        <w:pStyle w:val="FootnoteText"/>
      </w:pPr>
      <w:r>
        <w:rPr>
          <w:rStyle w:val="FootnoteReference"/>
        </w:rPr>
        <w:footnoteRef/>
      </w:r>
      <w:r>
        <w:t xml:space="preserve"> CPUC Decision</w:t>
      </w:r>
      <w:r w:rsidRPr="00A228E8">
        <w:t>92-02-075</w:t>
      </w:r>
      <w:r>
        <w:t xml:space="preserve"> issued in 1992 per consolidated rulemaking proceedings </w:t>
      </w:r>
      <w:r w:rsidRPr="00A228E8">
        <w:t>R9108003</w:t>
      </w:r>
      <w:r>
        <w:t xml:space="preserve">. CPUC Decisions prior to year 2000 are available through the Legacy CPUC Decisions FTP Archive, </w:t>
      </w:r>
      <w:hyperlink r:id="rId4" w:history="1">
        <w:r>
          <w:rPr>
            <w:rStyle w:val="Hyperlink"/>
          </w:rPr>
          <w:t>ftp://ftp2.cpuc.ca.gov/LegacyCPUCDecisionsAndResolutions/Decisions/</w:t>
        </w:r>
      </w:hyperlink>
    </w:p>
  </w:footnote>
  <w:footnote w:id="5">
    <w:p w14:paraId="1564F632" w14:textId="77777777" w:rsidR="003B38BA" w:rsidRDefault="003B38BA" w:rsidP="00234FF2">
      <w:pPr>
        <w:pStyle w:val="FootnoteText"/>
      </w:pPr>
      <w:r>
        <w:rPr>
          <w:rStyle w:val="FootnoteReference"/>
        </w:rPr>
        <w:footnoteRef/>
      </w:r>
      <w:r>
        <w:t xml:space="preserve"> CPUC Decision 19-08-009, 5 Aug. 2019, pages 12 and 53. </w:t>
      </w:r>
    </w:p>
  </w:footnote>
  <w:footnote w:id="6">
    <w:p w14:paraId="22D5C7F0" w14:textId="77777777" w:rsidR="003B38BA" w:rsidRDefault="003B38BA" w:rsidP="001C24C5">
      <w:pPr>
        <w:pStyle w:val="FootnoteText"/>
      </w:pPr>
      <w:r>
        <w:rPr>
          <w:rStyle w:val="FootnoteReference"/>
        </w:rPr>
        <w:footnoteRef/>
      </w:r>
      <w:r>
        <w:t xml:space="preserve"> Ibid page 53</w:t>
      </w:r>
    </w:p>
  </w:footnote>
  <w:footnote w:id="7">
    <w:p w14:paraId="4C0A2CC7" w14:textId="1666D438" w:rsidR="003B38BA" w:rsidRDefault="003B38BA">
      <w:pPr>
        <w:pStyle w:val="FootnoteText"/>
      </w:pPr>
      <w:r>
        <w:rPr>
          <w:rStyle w:val="FootnoteReference"/>
        </w:rPr>
        <w:footnoteRef/>
      </w:r>
      <w:r>
        <w:t xml:space="preserve"> D.19-08-009, p. 37.</w:t>
      </w:r>
    </w:p>
  </w:footnote>
  <w:footnote w:id="8">
    <w:p w14:paraId="556E74A8" w14:textId="64CD9EF5" w:rsidR="003B38BA" w:rsidRPr="00D10656" w:rsidRDefault="003B38BA" w:rsidP="00D10656">
      <w:pPr>
        <w:pStyle w:val="FootnoteText"/>
        <w:rPr>
          <w:highlight w:val="yellow"/>
        </w:rPr>
      </w:pPr>
      <w:r w:rsidRPr="00D10656">
        <w:rPr>
          <w:rStyle w:val="FootnoteReference"/>
        </w:rPr>
        <w:footnoteRef/>
      </w:r>
      <w:r w:rsidRPr="00C93E1B">
        <w:t xml:space="preserve"> </w:t>
      </w:r>
      <w:r w:rsidRPr="00D10656">
        <w:t>Energy Efficiency Policy Manual v5, pp. 47</w:t>
      </w:r>
    </w:p>
  </w:footnote>
  <w:footnote w:id="9">
    <w:p w14:paraId="1DFCA47E" w14:textId="77777777" w:rsidR="003B38BA" w:rsidRDefault="003B38BA" w:rsidP="000772B7">
      <w:pPr>
        <w:pStyle w:val="FootnoteText"/>
      </w:pPr>
      <w:r>
        <w:rPr>
          <w:rStyle w:val="FootnoteReference"/>
        </w:rPr>
        <w:footnoteRef/>
      </w:r>
      <w:r>
        <w:t xml:space="preserve"> CPUC Resolution E-4818, 2 March 2017</w:t>
      </w:r>
    </w:p>
  </w:footnote>
  <w:footnote w:id="10">
    <w:p w14:paraId="003F3DA2" w14:textId="77777777" w:rsidR="003B38BA" w:rsidRDefault="003B38BA" w:rsidP="000772B7">
      <w:pPr>
        <w:pStyle w:val="FootnoteText"/>
      </w:pPr>
      <w:r>
        <w:rPr>
          <w:rStyle w:val="FootnoteReference"/>
        </w:rPr>
        <w:footnoteRef/>
      </w:r>
      <w:r>
        <w:t xml:space="preserve"> CPUC Resolution E-4939, 12 October 2018</w:t>
      </w:r>
    </w:p>
  </w:footnote>
  <w:footnote w:id="11">
    <w:p w14:paraId="21A27245" w14:textId="582490CA" w:rsidR="003B38BA" w:rsidRDefault="003B38BA">
      <w:pPr>
        <w:pStyle w:val="FootnoteText"/>
      </w:pPr>
      <w:r>
        <w:rPr>
          <w:rStyle w:val="FootnoteReference"/>
        </w:rPr>
        <w:footnoteRef/>
      </w:r>
      <w:r>
        <w:t xml:space="preserve"> RUL – Remaining Useful Life</w:t>
      </w:r>
    </w:p>
  </w:footnote>
  <w:footnote w:id="12">
    <w:p w14:paraId="5B4226CC" w14:textId="5CE540DC" w:rsidR="003B38BA" w:rsidRDefault="003B38BA">
      <w:pPr>
        <w:pStyle w:val="FootnoteText"/>
      </w:pPr>
      <w:r>
        <w:rPr>
          <w:rStyle w:val="FootnoteReference"/>
        </w:rPr>
        <w:footnoteRef/>
      </w:r>
      <w:r>
        <w:t xml:space="preserve"> EUL – Effective Useful Life</w:t>
      </w:r>
    </w:p>
  </w:footnote>
  <w:footnote w:id="13">
    <w:p w14:paraId="3BD651AC" w14:textId="5D22FCEE" w:rsidR="003B38BA" w:rsidRPr="00D10656" w:rsidRDefault="003B38BA" w:rsidP="00D10656">
      <w:pPr>
        <w:rPr>
          <w:rFonts w:asciiTheme="minorHAnsi" w:hAnsiTheme="minorHAnsi"/>
        </w:rPr>
      </w:pPr>
      <w:r>
        <w:rPr>
          <w:rStyle w:val="FootnoteReference"/>
        </w:rPr>
        <w:footnoteRef/>
      </w:r>
      <w:r>
        <w:t xml:space="preserve"> </w:t>
      </w:r>
      <w:r w:rsidRPr="00D10656">
        <w:rPr>
          <w:rFonts w:asciiTheme="minorHAnsi" w:hAnsiTheme="minorHAnsi" w:cstheme="minorHAnsi"/>
          <w:sz w:val="20"/>
          <w:szCs w:val="20"/>
        </w:rPr>
        <w:t xml:space="preserve">Exceptions are made for </w:t>
      </w:r>
      <w:r w:rsidRPr="001A22D2">
        <w:rPr>
          <w:rFonts w:asciiTheme="minorHAnsi" w:hAnsiTheme="minorHAnsi" w:cstheme="minorHAnsi"/>
          <w:sz w:val="20"/>
          <w:szCs w:val="20"/>
        </w:rPr>
        <w:t>expansions or additions of load. Examples include (1) when the new fuel technology is installed in a new area of an existing building, (2) when the new fuel technology is part of a major renovation of an existing building, (3) capacity expansions of existing systems to serve existing and/or new load, or (4) retrofits that require a new energy service. These exceptions will follow the same baseline technology requirements as a Normal Replacement measure application type.</w:t>
      </w:r>
      <w:r>
        <w:rPr>
          <w:rFonts w:asciiTheme="minorHAnsi" w:hAnsiTheme="minorHAnsi"/>
        </w:rPr>
        <w:t xml:space="preserve"> </w:t>
      </w:r>
    </w:p>
  </w:footnote>
  <w:footnote w:id="14">
    <w:p w14:paraId="4B3F0223" w14:textId="77777777" w:rsidR="003B38BA" w:rsidRDefault="003B38BA" w:rsidP="00127A73">
      <w:pPr>
        <w:pStyle w:val="FootnoteText"/>
      </w:pPr>
      <w:r>
        <w:rPr>
          <w:rStyle w:val="FootnoteReference"/>
        </w:rPr>
        <w:footnoteRef/>
      </w:r>
      <w:r>
        <w:t xml:space="preserve"> CPUC Decision 19-08-009, 5 Aug. 2019, page 18</w:t>
      </w:r>
    </w:p>
  </w:footnote>
  <w:footnote w:id="15">
    <w:p w14:paraId="4B41C36B" w14:textId="3F58090D" w:rsidR="003B38BA" w:rsidRDefault="003B38BA" w:rsidP="00127A73">
      <w:pPr>
        <w:pStyle w:val="FootnoteText"/>
      </w:pPr>
      <w:r>
        <w:rPr>
          <w:rStyle w:val="FootnoteReference"/>
        </w:rPr>
        <w:footnoteRef/>
      </w:r>
      <w:r>
        <w:t xml:space="preserve"> Integrated Resources Planning (IRP) proceeding (Rulemaking (R.)16-02-007),</w:t>
      </w:r>
      <w:hyperlink r:id="rId5" w:history="1">
        <w:r>
          <w:rPr>
            <w:rStyle w:val="Hyperlink"/>
          </w:rPr>
          <w:t>http://docs.cpuc.ca.gov/SearchRes.aspx?DocFormat=ALL&amp;DocID=316460506</w:t>
        </w:r>
      </w:hyperlink>
    </w:p>
  </w:footnote>
  <w:footnote w:id="16">
    <w:p w14:paraId="54FB5584" w14:textId="77777777" w:rsidR="003B38BA" w:rsidRDefault="003B38BA" w:rsidP="0091403B">
      <w:pPr>
        <w:pStyle w:val="FootnoteText"/>
      </w:pPr>
      <w:r>
        <w:rPr>
          <w:rStyle w:val="FootnoteReference"/>
        </w:rPr>
        <w:footnoteRef/>
      </w:r>
      <w:r>
        <w:t xml:space="preserve"> CPUC Decision 19-08-009, 5 Aug. 2019, page 18</w:t>
      </w:r>
    </w:p>
  </w:footnote>
  <w:footnote w:id="17">
    <w:p w14:paraId="20981AB2" w14:textId="304BEF2E" w:rsidR="003B38BA" w:rsidRDefault="003B38BA">
      <w:pPr>
        <w:pStyle w:val="FootnoteText"/>
      </w:pPr>
      <w:r>
        <w:rPr>
          <w:rStyle w:val="FootnoteReference"/>
        </w:rPr>
        <w:footnoteRef/>
      </w:r>
      <w:r>
        <w:t xml:space="preserve"> Energy Efficiency Policy Manual, v5, pp. 30</w:t>
      </w:r>
    </w:p>
  </w:footnote>
  <w:footnote w:id="18">
    <w:p w14:paraId="04ACE46C" w14:textId="4F725F2A" w:rsidR="003B38BA" w:rsidRDefault="003B38BA">
      <w:pPr>
        <w:pStyle w:val="FootnoteText"/>
      </w:pPr>
      <w:r>
        <w:rPr>
          <w:rStyle w:val="FootnoteReference"/>
        </w:rPr>
        <w:footnoteRef/>
      </w:r>
      <w:r>
        <w:t xml:space="preserve"> D.19-08-009, p. 37.</w:t>
      </w:r>
    </w:p>
  </w:footnote>
  <w:footnote w:id="19">
    <w:p w14:paraId="305A9BAD" w14:textId="744ADDCE" w:rsidR="003B38BA" w:rsidRDefault="003B38BA" w:rsidP="00D10656">
      <w:pPr>
        <w:pStyle w:val="FootnoteText"/>
      </w:pPr>
      <w:r w:rsidRPr="00D10656">
        <w:rPr>
          <w:rStyle w:val="FootnoteReference"/>
        </w:rPr>
        <w:footnoteRef/>
      </w:r>
      <w:r>
        <w:t xml:space="preserve"> D.19-08-009, p. 37.</w:t>
      </w:r>
    </w:p>
  </w:footnote>
  <w:footnote w:id="20">
    <w:p w14:paraId="7DB50906" w14:textId="4030D2D0" w:rsidR="003B38BA" w:rsidRDefault="003B38BA" w:rsidP="00D10656">
      <w:pPr>
        <w:pStyle w:val="FootnoteText"/>
      </w:pPr>
      <w:r w:rsidRPr="00D10656">
        <w:rPr>
          <w:rStyle w:val="FootnoteReference"/>
        </w:rPr>
        <w:footnoteRef/>
      </w:r>
      <w:r>
        <w:t xml:space="preserve"> D.19-</w:t>
      </w:r>
      <w:r w:rsidRPr="0F7145F3">
        <w:t>08-009, p.38.</w:t>
      </w:r>
    </w:p>
  </w:footnote>
  <w:footnote w:id="21">
    <w:p w14:paraId="76CD35AE" w14:textId="6E81E87E" w:rsidR="003B38BA" w:rsidRDefault="003B38BA" w:rsidP="00D10656">
      <w:pPr>
        <w:pStyle w:val="FootnoteText"/>
      </w:pPr>
      <w:r w:rsidRPr="00D10656">
        <w:rPr>
          <w:rStyle w:val="FootnoteReference"/>
        </w:rPr>
        <w:footnoteRef/>
      </w:r>
      <w:r>
        <w:t xml:space="preserve"> D.19-08-009, p. 38.</w:t>
      </w:r>
    </w:p>
  </w:footnote>
  <w:footnote w:id="22">
    <w:p w14:paraId="1DDA7DD6" w14:textId="0D222BB6" w:rsidR="003B38BA" w:rsidRDefault="003B38BA">
      <w:pPr>
        <w:pStyle w:val="FootnoteText"/>
      </w:pPr>
      <w:r>
        <w:rPr>
          <w:rStyle w:val="FootnoteReference"/>
        </w:rPr>
        <w:footnoteRef/>
      </w:r>
      <w:r>
        <w:t xml:space="preserve"> CPUC Decision 19-08-009, 5 Aug. 2019, p. </w:t>
      </w:r>
      <w:r w:rsidRPr="003A60CF">
        <w:t>38</w:t>
      </w:r>
    </w:p>
  </w:footnote>
  <w:footnote w:id="23">
    <w:p w14:paraId="08B38E16" w14:textId="77777777" w:rsidR="003B38BA" w:rsidRDefault="003B38BA" w:rsidP="00A37238">
      <w:pPr>
        <w:pStyle w:val="FootnoteText"/>
      </w:pPr>
      <w:r>
        <w:rPr>
          <w:rStyle w:val="FootnoteReference"/>
        </w:rPr>
        <w:footnoteRef/>
      </w:r>
      <w:r>
        <w:t xml:space="preserve"> CPUC Decision 19-08-009, 5 Aug. 2019, page 54</w:t>
      </w:r>
    </w:p>
  </w:footnote>
  <w:footnote w:id="24">
    <w:p w14:paraId="6A583191" w14:textId="77777777" w:rsidR="003B38BA" w:rsidRPr="00D10656" w:rsidRDefault="003B38BA" w:rsidP="00E06509">
      <w:pPr>
        <w:pStyle w:val="FootnoteText"/>
        <w:rPr>
          <w:highlight w:val="yellow"/>
        </w:rPr>
      </w:pPr>
      <w:r w:rsidRPr="00D10656">
        <w:rPr>
          <w:rStyle w:val="FootnoteReference"/>
        </w:rPr>
        <w:footnoteRef/>
      </w:r>
      <w:r w:rsidRPr="00D749D6">
        <w:t xml:space="preserve"> </w:t>
      </w:r>
      <w:r w:rsidRPr="00D10656">
        <w:t>Energy Efficiency Policy Manual, v5, pp. 17-25, 54</w:t>
      </w:r>
    </w:p>
  </w:footnote>
  <w:footnote w:id="25">
    <w:p w14:paraId="34482FCC" w14:textId="77777777" w:rsidR="003B38BA" w:rsidRDefault="003B38BA" w:rsidP="00894056">
      <w:pPr>
        <w:pStyle w:val="FootnoteText"/>
      </w:pPr>
      <w:r>
        <w:rPr>
          <w:rStyle w:val="FootnoteReference"/>
        </w:rPr>
        <w:footnoteRef/>
      </w:r>
      <w:r>
        <w:t xml:space="preserve"> Fuel Substitution Calculator v1.0</w:t>
      </w:r>
    </w:p>
  </w:footnote>
  <w:footnote w:id="26">
    <w:p w14:paraId="65CCD80B" w14:textId="77777777" w:rsidR="003B38BA" w:rsidRDefault="003B38BA" w:rsidP="005B6B52">
      <w:pPr>
        <w:pStyle w:val="FootnoteText"/>
      </w:pPr>
      <w:r>
        <w:rPr>
          <w:rStyle w:val="FootnoteReference"/>
        </w:rPr>
        <w:footnoteRef/>
      </w:r>
      <w:r>
        <w:t xml:space="preserve"> </w:t>
      </w:r>
      <w:r w:rsidRPr="00025CE3">
        <w:rPr>
          <w:rStyle w:val="eTRMFootnoteTextChar"/>
        </w:rPr>
        <w:t>California Energy Commission</w:t>
      </w:r>
      <w:r>
        <w:rPr>
          <w:rStyle w:val="eTRMFootnoteTextChar"/>
        </w:rPr>
        <w:t xml:space="preserve"> (CEC)</w:t>
      </w:r>
      <w:r w:rsidRPr="00025CE3">
        <w:rPr>
          <w:rStyle w:val="eTRMFootnoteTextChar"/>
        </w:rPr>
        <w:t>. 201</w:t>
      </w:r>
      <w:r>
        <w:rPr>
          <w:rStyle w:val="eTRMFootnoteTextChar"/>
        </w:rPr>
        <w:t>9</w:t>
      </w:r>
      <w:r w:rsidRPr="00025CE3">
        <w:rPr>
          <w:rStyle w:val="eTRMFootnoteTextChar"/>
        </w:rPr>
        <w:t xml:space="preserve">. </w:t>
      </w:r>
      <w:r w:rsidRPr="00FA5945">
        <w:rPr>
          <w:rStyle w:val="eTRMFootnoteTextChar"/>
          <w:i/>
        </w:rPr>
        <w:t>201</w:t>
      </w:r>
      <w:r>
        <w:rPr>
          <w:rStyle w:val="eTRMFootnoteTextChar"/>
          <w:i/>
        </w:rPr>
        <w:t>9</w:t>
      </w:r>
      <w:r w:rsidRPr="00FA5945">
        <w:rPr>
          <w:rStyle w:val="eTRMFootnoteTextChar"/>
          <w:i/>
        </w:rPr>
        <w:t xml:space="preserve"> Appliance Efficiency Regulations</w:t>
      </w:r>
      <w:r w:rsidRPr="00025CE3">
        <w:rPr>
          <w:rStyle w:val="eTRMFootnoteTextChar"/>
        </w:rPr>
        <w:t>. CEC-</w:t>
      </w:r>
      <w:r>
        <w:rPr>
          <w:rStyle w:val="eTRMFootnoteTextChar"/>
        </w:rPr>
        <w:t>140</w:t>
      </w:r>
      <w:r w:rsidRPr="00025CE3">
        <w:rPr>
          <w:rStyle w:val="eTRMFootnoteTextChar"/>
        </w:rPr>
        <w:t>-201</w:t>
      </w:r>
      <w:r>
        <w:rPr>
          <w:rStyle w:val="eTRMFootnoteTextChar"/>
        </w:rPr>
        <w:t>9</w:t>
      </w:r>
      <w:r w:rsidRPr="00025CE3">
        <w:rPr>
          <w:rStyle w:val="eTRMFootnoteTextChar"/>
        </w:rPr>
        <w:t>-00</w:t>
      </w:r>
      <w:r>
        <w:rPr>
          <w:rStyle w:val="eTRMFootnoteTextChar"/>
        </w:rPr>
        <w:t>2</w:t>
      </w:r>
      <w:r w:rsidRPr="00025CE3">
        <w:rPr>
          <w:rStyle w:val="eTRMFootnoteTextChar"/>
        </w:rPr>
        <w:t>.</w:t>
      </w:r>
    </w:p>
  </w:footnote>
  <w:footnote w:id="27">
    <w:p w14:paraId="4437820F" w14:textId="5A3794AF" w:rsidR="003B38BA" w:rsidRDefault="003B38BA" w:rsidP="00D10656">
      <w:pPr>
        <w:pStyle w:val="FootnoteText"/>
      </w:pPr>
      <w:r w:rsidRPr="00D10656">
        <w:rPr>
          <w:vertAlign w:val="superscript"/>
        </w:rPr>
        <w:footnoteRef/>
      </w:r>
      <w:r>
        <w:t xml:space="preserve"> Integrated Resources Planning (IRP) proceeding (Rulemaking (R.)16-02-007),</w:t>
      </w:r>
      <w:hyperlink r:id="rId6">
        <w:r w:rsidRPr="00D10656">
          <w:rPr>
            <w:rStyle w:val="Hyperlink"/>
          </w:rPr>
          <w:t>http://docs.cpuc.ca.gov/SearchRes.aspx?DocFormat=ALL&amp;DocID=316460506</w:t>
        </w:r>
      </w:hyperlink>
    </w:p>
  </w:footnote>
  <w:footnote w:id="28">
    <w:p w14:paraId="15346B7D" w14:textId="05F7D182" w:rsidR="003B38BA" w:rsidRDefault="003B38BA">
      <w:pPr>
        <w:pStyle w:val="FootnoteText"/>
      </w:pPr>
      <w:r>
        <w:rPr>
          <w:rStyle w:val="FootnoteReference"/>
        </w:rPr>
        <w:footnoteRef/>
      </w:r>
      <w:r>
        <w:t xml:space="preserve"> The Clean Energy Pollution Reduction Act (Senate Bill 350) – Docket </w:t>
      </w:r>
      <w:hyperlink r:id="rId7" w:history="1">
        <w:r w:rsidRPr="00514244">
          <w:t>16-OIR-01</w:t>
        </w:r>
      </w:hyperlink>
      <w:r w:rsidRPr="00514244">
        <w:t>– General Rulemaking Proceeding for Developing Regulations, Guidelines and Policies for Implementing SB 350 and AB 802</w:t>
      </w:r>
    </w:p>
  </w:footnote>
  <w:footnote w:id="29">
    <w:p w14:paraId="203D25A4" w14:textId="72F39D3D" w:rsidR="003B38BA" w:rsidRDefault="003B38BA" w:rsidP="00F83696">
      <w:pPr>
        <w:pStyle w:val="FootnoteText"/>
      </w:pPr>
      <w:r w:rsidRPr="00040451">
        <w:rPr>
          <w:vertAlign w:val="superscript"/>
        </w:rPr>
        <w:footnoteRef/>
      </w:r>
      <w:r>
        <w:t xml:space="preserve"> Integrated Resources Planning (IRP) proceeding (Rulemaking (R.)16-02-007),</w:t>
      </w:r>
      <w:hyperlink r:id="rId8" w:history="1">
        <w:r>
          <w:rPr>
            <w:rStyle w:val="Hyperlink"/>
          </w:rPr>
          <w:t>http://docs.cpuc.ca.gov/SearchRes.aspx?DocFormat=ALL&amp;DocID=316460506</w:t>
        </w:r>
      </w:hyperlink>
    </w:p>
  </w:footnote>
  <w:footnote w:id="30">
    <w:p w14:paraId="4B4C5470" w14:textId="77777777" w:rsidR="003B38BA" w:rsidRDefault="003B38BA" w:rsidP="00322E81">
      <w:pPr>
        <w:pStyle w:val="FootnoteText"/>
      </w:pPr>
      <w:r>
        <w:rPr>
          <w:rStyle w:val="FootnoteReference"/>
        </w:rPr>
        <w:footnoteRef/>
      </w:r>
      <w:r>
        <w:t xml:space="preserve"> Senate Bill 100 </w:t>
      </w:r>
      <w:hyperlink r:id="rId9" w:history="1">
        <w:r>
          <w:rPr>
            <w:rStyle w:val="Hyperlink"/>
          </w:rPr>
          <w:t>https://leginfo.legislature.ca.gov/faces/billTextClient.xhtml?bill_id=201720180SB100</w:t>
        </w:r>
      </w:hyperlink>
    </w:p>
    <w:p w14:paraId="4A501C69" w14:textId="77777777" w:rsidR="003B38BA" w:rsidRDefault="003B38BA" w:rsidP="00322E81">
      <w:pPr>
        <w:pStyle w:val="FootnoteText"/>
      </w:pPr>
      <w:r>
        <w:t>For instance, SB 100 does not define “zero-carbon resources”. However, staff has done preliminary work on this topic:</w:t>
      </w:r>
    </w:p>
    <w:p w14:paraId="7E5ECC2C" w14:textId="77777777" w:rsidR="003B38BA" w:rsidRDefault="009D6009" w:rsidP="00322E81">
      <w:pPr>
        <w:pStyle w:val="FootnoteText"/>
      </w:pPr>
      <w:hyperlink r:id="rId10" w:history="1">
        <w:r w:rsidR="003B38BA" w:rsidRPr="009A472F">
          <w:rPr>
            <w:rStyle w:val="Hyperlink"/>
          </w:rPr>
          <w:t>https://www.cpuc.ca.gov/uploadedFiles/CPUCWebsite/Content/UtilitiesIndustries/Energy/EnergyPrograms/ElectPowerProcurementGeneration/irp/2018/2019%20IRP%20Preliminary%20Results%2020191004.pdf</w:t>
        </w:r>
      </w:hyperlink>
      <w:r w:rsidR="003B38BA">
        <w:t xml:space="preserve"> slide 102.</w:t>
      </w:r>
    </w:p>
  </w:footnote>
  <w:footnote w:id="31">
    <w:p w14:paraId="0110F273" w14:textId="5CFAC079" w:rsidR="003B38BA" w:rsidRDefault="003B38BA">
      <w:pPr>
        <w:pStyle w:val="FootnoteText"/>
      </w:pPr>
      <w:r>
        <w:rPr>
          <w:rStyle w:val="FootnoteReference"/>
        </w:rPr>
        <w:footnoteRef/>
      </w:r>
      <w:r>
        <w:t xml:space="preserve"> CPUC Avoided Cost Calculator at </w:t>
      </w:r>
      <w:hyperlink r:id="rId11" w:history="1">
        <w:r>
          <w:rPr>
            <w:rStyle w:val="Hyperlink"/>
          </w:rPr>
          <w:t>https://www.cpuc.ca.gov/General.aspx?id=5267</w:t>
        </w:r>
      </w:hyperlink>
    </w:p>
  </w:footnote>
  <w:footnote w:id="32">
    <w:p w14:paraId="20815FEB" w14:textId="1506F817" w:rsidR="003B38BA" w:rsidRDefault="003B38BA">
      <w:pPr>
        <w:pStyle w:val="FootnoteText"/>
      </w:pPr>
      <w:r>
        <w:rPr>
          <w:rStyle w:val="FootnoteReference"/>
        </w:rPr>
        <w:footnoteRef/>
      </w:r>
      <w:r>
        <w:t xml:space="preserve"> D.19-04-040.</w:t>
      </w:r>
    </w:p>
  </w:footnote>
  <w:footnote w:id="33">
    <w:p w14:paraId="23A8A6CC" w14:textId="77777777" w:rsidR="003B38BA" w:rsidRDefault="003B38BA" w:rsidP="008805AF">
      <w:pPr>
        <w:pStyle w:val="FootnoteText"/>
      </w:pPr>
      <w:r>
        <w:rPr>
          <w:rStyle w:val="FootnoteReference"/>
        </w:rPr>
        <w:footnoteRef/>
      </w:r>
      <w:r>
        <w:t xml:space="preserve"> See </w:t>
      </w:r>
      <w:hyperlink r:id="rId12" w:history="1">
        <w:r>
          <w:rPr>
            <w:rStyle w:val="Hyperlink"/>
          </w:rPr>
          <w:t>https://www.cpuc.ca.gov/irp/proposedrsp/</w:t>
        </w:r>
      </w:hyperlink>
    </w:p>
  </w:footnote>
  <w:footnote w:id="34">
    <w:p w14:paraId="177CD3B1" w14:textId="7BCDB437" w:rsidR="003B38BA" w:rsidRDefault="003B38BA" w:rsidP="008046C5">
      <w:pPr>
        <w:pStyle w:val="FootnoteText"/>
      </w:pPr>
      <w:r>
        <w:rPr>
          <w:rStyle w:val="FootnoteReference"/>
        </w:rPr>
        <w:footnoteRef/>
      </w:r>
      <w:r>
        <w:t xml:space="preserve"> Based on Avoided Cost Calculator v1b</w:t>
      </w:r>
    </w:p>
  </w:footnote>
  <w:footnote w:id="35">
    <w:p w14:paraId="7B94F80F" w14:textId="77777777" w:rsidR="003B38BA" w:rsidRDefault="003B38BA" w:rsidP="00C837E1">
      <w:pPr>
        <w:pStyle w:val="FootnoteText"/>
      </w:pPr>
      <w:r>
        <w:rPr>
          <w:rStyle w:val="FootnoteReference"/>
        </w:rPr>
        <w:footnoteRef/>
      </w:r>
      <w:r>
        <w:t xml:space="preserve"> Energy Efficiency Savings Eligibility at Sites with non-IOU Supplied Energy Sources—Guidance Document. Version 1.1 November 6.2015</w:t>
      </w:r>
    </w:p>
  </w:footnote>
  <w:footnote w:id="36">
    <w:p w14:paraId="1CFD582E" w14:textId="77777777" w:rsidR="003B38BA" w:rsidRDefault="003B38BA" w:rsidP="00C837E1">
      <w:pPr>
        <w:pStyle w:val="FootnoteText"/>
      </w:pPr>
      <w:r>
        <w:rPr>
          <w:rStyle w:val="FootnoteReference"/>
        </w:rPr>
        <w:footnoteRef/>
      </w:r>
      <w:r>
        <w:t xml:space="preserve"> Monthly or hourly analysis as required by Energy Efficiency Savings Eligibility at Sites with non-IOU Supplied Energy Sources—Guidance Document. Version 1.1 November 6.2015</w:t>
      </w:r>
    </w:p>
  </w:footnote>
  <w:footnote w:id="37">
    <w:p w14:paraId="10D3ACAC" w14:textId="77777777" w:rsidR="003B38BA" w:rsidRDefault="003B38BA" w:rsidP="00EB189D">
      <w:pPr>
        <w:pStyle w:val="FootnoteText"/>
      </w:pPr>
      <w:r>
        <w:rPr>
          <w:rStyle w:val="FootnoteReference"/>
        </w:rPr>
        <w:footnoteRef/>
      </w:r>
      <w:r>
        <w:t xml:space="preserve"> </w:t>
      </w:r>
      <w:r w:rsidRPr="00DE28FB">
        <w:t>http://www.cpuc.ca.gov/aboutus/</w:t>
      </w:r>
      <w:r>
        <w:t>.</w:t>
      </w:r>
    </w:p>
  </w:footnote>
  <w:footnote w:id="38">
    <w:p w14:paraId="2393FB0F" w14:textId="77777777" w:rsidR="003B38BA" w:rsidRDefault="003B38BA" w:rsidP="00EB189D">
      <w:pPr>
        <w:autoSpaceDE w:val="0"/>
        <w:autoSpaceDN w:val="0"/>
        <w:adjustRightInd w:val="0"/>
      </w:pPr>
      <w:r>
        <w:rPr>
          <w:rStyle w:val="FootnoteReference"/>
        </w:rPr>
        <w:footnoteRef/>
      </w:r>
      <w:r>
        <w:t xml:space="preserve"> </w:t>
      </w:r>
      <w:r w:rsidRPr="0058362E">
        <w:rPr>
          <w:sz w:val="20"/>
        </w:rPr>
        <w:t>California Code of Regulations, Title 24 (Building Standards Code)</w:t>
      </w:r>
      <w:r>
        <w:rPr>
          <w:sz w:val="20"/>
        </w:rPr>
        <w:t xml:space="preserve"> and </w:t>
      </w:r>
      <w:r w:rsidRPr="0058362E">
        <w:rPr>
          <w:sz w:val="20"/>
        </w:rPr>
        <w:t>Title 20, Division 2, Chapter 4, Article 4 (Appliance E</w:t>
      </w:r>
      <w:r>
        <w:rPr>
          <w:sz w:val="20"/>
        </w:rPr>
        <w:t>nergy Efficiency Regulations).</w:t>
      </w:r>
    </w:p>
  </w:footnote>
  <w:footnote w:id="39">
    <w:p w14:paraId="42408745" w14:textId="77777777" w:rsidR="003B38BA" w:rsidRDefault="003B38BA" w:rsidP="00EB189D">
      <w:pPr>
        <w:pStyle w:val="FootnoteText"/>
      </w:pPr>
      <w:r>
        <w:rPr>
          <w:rStyle w:val="FootnoteReference"/>
        </w:rPr>
        <w:footnoteRef/>
      </w:r>
      <w:r>
        <w:t xml:space="preserve"> </w:t>
      </w:r>
      <w:r w:rsidRPr="003D0545">
        <w:rPr>
          <w:i/>
        </w:rPr>
        <w:t>Energy Efficiency Policy Manual</w:t>
      </w:r>
      <w:r w:rsidRPr="00285443">
        <w:t>, p. 49.</w:t>
      </w:r>
    </w:p>
  </w:footnote>
  <w:footnote w:id="40">
    <w:p w14:paraId="40922B7F" w14:textId="77777777" w:rsidR="003B38BA" w:rsidRDefault="003B38BA" w:rsidP="00EB189D">
      <w:pPr>
        <w:pStyle w:val="FootnoteText"/>
      </w:pPr>
      <w:r>
        <w:rPr>
          <w:rStyle w:val="FootnoteReference"/>
        </w:rPr>
        <w:footnoteRef/>
      </w:r>
      <w:r>
        <w:t xml:space="preserve"> </w:t>
      </w:r>
      <w:r w:rsidRPr="00670170">
        <w:t>Califor</w:t>
      </w:r>
      <w:r>
        <w:t>nia Public Utilities Commission, May 10, 2012,</w:t>
      </w:r>
      <w:r w:rsidRPr="00670170">
        <w:t xml:space="preserve"> </w:t>
      </w:r>
      <w:r w:rsidRPr="003D0545">
        <w:rPr>
          <w:i/>
        </w:rPr>
        <w:t>D</w:t>
      </w:r>
      <w:r>
        <w:rPr>
          <w:i/>
        </w:rPr>
        <w:t>.</w:t>
      </w:r>
      <w:r w:rsidRPr="003D0545">
        <w:rPr>
          <w:i/>
        </w:rPr>
        <w:t>12-05-015: Decision Providing Guidance on 2013-2014 Energy Efficiency Portfolios and 2012 Marketing, Education, and Outreach</w:t>
      </w:r>
      <w:r>
        <w:t>.</w:t>
      </w:r>
    </w:p>
  </w:footnote>
  <w:footnote w:id="41">
    <w:p w14:paraId="429B8147" w14:textId="77777777" w:rsidR="003B38BA" w:rsidRDefault="003B38BA" w:rsidP="00EB189D">
      <w:pPr>
        <w:pStyle w:val="FootnoteText"/>
      </w:pPr>
      <w:r>
        <w:rPr>
          <w:rStyle w:val="FootnoteReference"/>
        </w:rPr>
        <w:footnoteRef/>
      </w:r>
      <w:r>
        <w:t xml:space="preserve"> D.12-05-015, </w:t>
      </w:r>
      <w:r w:rsidRPr="00670170">
        <w:t>Attachment A: Summary of Changes to Database for Energy Efficiency Resources 2011, p. 14.</w:t>
      </w:r>
    </w:p>
  </w:footnote>
  <w:footnote w:id="42">
    <w:p w14:paraId="38F08E47" w14:textId="77777777" w:rsidR="003B38BA" w:rsidRDefault="003B38BA" w:rsidP="00EB189D">
      <w:pPr>
        <w:pStyle w:val="FootnoteText"/>
      </w:pPr>
      <w:r>
        <w:rPr>
          <w:rStyle w:val="FootnoteReference"/>
        </w:rPr>
        <w:footnoteRef/>
      </w:r>
      <w:r>
        <w:t xml:space="preserve"> </w:t>
      </w:r>
      <w:r w:rsidRPr="003D0545">
        <w:rPr>
          <w:i/>
        </w:rPr>
        <w:t>Energy Efficiency Policy Manual</w:t>
      </w:r>
      <w:r w:rsidRPr="00786990">
        <w:t>, p. 49.</w:t>
      </w:r>
    </w:p>
  </w:footnote>
  <w:footnote w:id="43">
    <w:p w14:paraId="2C02C147" w14:textId="77777777" w:rsidR="003B38BA" w:rsidRDefault="003B38BA" w:rsidP="00EB189D">
      <w:pPr>
        <w:pStyle w:val="FootnoteText"/>
      </w:pPr>
      <w:r>
        <w:rPr>
          <w:rStyle w:val="FootnoteReference"/>
        </w:rPr>
        <w:footnoteRef/>
      </w:r>
      <w:r>
        <w:t xml:space="preserve"> </w:t>
      </w:r>
      <w:r w:rsidRPr="003D0545">
        <w:rPr>
          <w:i/>
        </w:rPr>
        <w:t>Energy Efficiency Policy Manual</w:t>
      </w:r>
      <w:r>
        <w:t>,</w:t>
      </w:r>
      <w:r w:rsidRPr="00786990">
        <w:t xml:space="preserve"> p. 52.</w:t>
      </w:r>
    </w:p>
  </w:footnote>
  <w:footnote w:id="44">
    <w:p w14:paraId="00BD9BAF" w14:textId="77777777" w:rsidR="003B38BA" w:rsidRDefault="003B38BA" w:rsidP="00EB189D">
      <w:pPr>
        <w:pStyle w:val="FootnoteText"/>
      </w:pPr>
      <w:r>
        <w:rPr>
          <w:rStyle w:val="FootnoteReference"/>
        </w:rPr>
        <w:footnoteRef/>
      </w:r>
      <w:r>
        <w:t xml:space="preserve"> </w:t>
      </w:r>
      <w:r w:rsidRPr="003D0545">
        <w:rPr>
          <w:i/>
        </w:rPr>
        <w:t>Energy Efficiency Policy Manual</w:t>
      </w:r>
      <w:r>
        <w:rPr>
          <w:i/>
        </w:rPr>
        <w:t xml:space="preserve">, </w:t>
      </w:r>
      <w:r>
        <w:t>p. 52.</w:t>
      </w:r>
    </w:p>
  </w:footnote>
  <w:footnote w:id="45">
    <w:p w14:paraId="1C203E5D" w14:textId="77777777" w:rsidR="003B38BA" w:rsidRDefault="003B38BA" w:rsidP="00EB189D">
      <w:pPr>
        <w:pStyle w:val="FootnoteText"/>
      </w:pPr>
      <w:r>
        <w:rPr>
          <w:rStyle w:val="FootnoteReference"/>
        </w:rPr>
        <w:footnoteRef/>
      </w:r>
      <w:r>
        <w:t xml:space="preserve"> </w:t>
      </w:r>
      <w:r w:rsidRPr="00284823">
        <w:rPr>
          <w:i/>
        </w:rPr>
        <w:t>Energy Efficiency Policy Manual</w:t>
      </w:r>
      <w:r>
        <w:t>, p. 53</w:t>
      </w:r>
      <w:r w:rsidRPr="00DE28FB">
        <w:t>.</w:t>
      </w:r>
      <w:r>
        <w:t xml:space="preserve"> </w:t>
      </w:r>
      <w:r w:rsidRPr="00F60DC1">
        <w:t xml:space="preserve">This document uses the terms “fuel switching” and “fuel substitution” </w:t>
      </w:r>
      <w:r>
        <w:t>interchangeably. O</w:t>
      </w:r>
      <w:r w:rsidRPr="00F60DC1">
        <w:t>thers use fuel switching to refer to changes to a non-regulated fuel (e.g. not electricity or gas)</w:t>
      </w:r>
      <w:r>
        <w:t>,</w:t>
      </w:r>
      <w:r w:rsidRPr="00F60DC1">
        <w:t xml:space="preserve"> whereas fuel substitution refers to regulated fuels (electricity or gas). See the CEC Staff Paper: Framework for Establishing the Senate Bill 350 Energy Efficiency Savings Doubling Targets (January 2017) at pp. 18-19.</w:t>
      </w:r>
    </w:p>
  </w:footnote>
  <w:footnote w:id="46">
    <w:p w14:paraId="1C0542BD" w14:textId="77777777" w:rsidR="003B38BA" w:rsidRDefault="003B38BA" w:rsidP="00EB189D">
      <w:pPr>
        <w:pStyle w:val="FootnoteText"/>
      </w:pPr>
      <w:r>
        <w:rPr>
          <w:rStyle w:val="FootnoteReference"/>
        </w:rPr>
        <w:footnoteRef/>
      </w:r>
      <w:r>
        <w:t xml:space="preserve"> </w:t>
      </w:r>
      <w:r w:rsidRPr="00DE28FB">
        <w:t>California Public Utilities Commission</w:t>
      </w:r>
      <w:r>
        <w:t>,</w:t>
      </w:r>
      <w:r w:rsidRPr="00DE28FB">
        <w:t xml:space="preserve"> July 2002</w:t>
      </w:r>
      <w:r>
        <w:t>,</w:t>
      </w:r>
      <w:r w:rsidRPr="00DE28FB">
        <w:t xml:space="preserve"> </w:t>
      </w:r>
      <w:r w:rsidRPr="00284823">
        <w:rPr>
          <w:i/>
        </w:rPr>
        <w:t>California Standard Practice Manual: Economic Analysis of Demand-Side Programs and Projects</w:t>
      </w:r>
      <w:r w:rsidRPr="00DE28FB">
        <w:t>, p. 11.</w:t>
      </w:r>
    </w:p>
  </w:footnote>
  <w:footnote w:id="47">
    <w:p w14:paraId="32DA0C4E" w14:textId="77777777" w:rsidR="003B38BA" w:rsidRDefault="003B38BA" w:rsidP="00EB189D">
      <w:pPr>
        <w:pStyle w:val="FootnoteText"/>
      </w:pPr>
      <w:r>
        <w:rPr>
          <w:rStyle w:val="FootnoteReference"/>
        </w:rPr>
        <w:footnoteRef/>
      </w:r>
      <w:r>
        <w:t xml:space="preserve"> </w:t>
      </w:r>
      <w:r w:rsidRPr="00284823">
        <w:rPr>
          <w:i/>
        </w:rPr>
        <w:t>Energy Efficiency Policy Manual</w:t>
      </w:r>
      <w:r>
        <w:rPr>
          <w:i/>
        </w:rPr>
        <w:t>,</w:t>
      </w:r>
      <w:r w:rsidRPr="00284823" w:rsidDel="00A033EE">
        <w:rPr>
          <w:i/>
        </w:rPr>
        <w:t xml:space="preserve"> </w:t>
      </w:r>
      <w:r w:rsidRPr="00DE28FB">
        <w:t>pp. 53-54.</w:t>
      </w:r>
    </w:p>
  </w:footnote>
  <w:footnote w:id="48">
    <w:p w14:paraId="2A592CEB" w14:textId="77777777" w:rsidR="003B38BA" w:rsidRDefault="003B38BA" w:rsidP="00EB189D">
      <w:pPr>
        <w:pStyle w:val="FootnoteText"/>
      </w:pPr>
      <w:r>
        <w:rPr>
          <w:rStyle w:val="FootnoteReference"/>
        </w:rPr>
        <w:footnoteRef/>
      </w:r>
      <w:r>
        <w:t xml:space="preserve"> </w:t>
      </w:r>
      <w:r w:rsidRPr="00284823">
        <w:rPr>
          <w:i/>
        </w:rPr>
        <w:t>Energy Efficiency Policy Manual</w:t>
      </w:r>
      <w:r w:rsidRPr="00DE28FB">
        <w:t>, p. 54.</w:t>
      </w:r>
    </w:p>
  </w:footnote>
  <w:footnote w:id="49">
    <w:p w14:paraId="3AC96CFC" w14:textId="77777777" w:rsidR="003B38BA" w:rsidRDefault="003B38BA" w:rsidP="00EB189D">
      <w:pPr>
        <w:pStyle w:val="FootnoteText"/>
      </w:pPr>
      <w:r>
        <w:rPr>
          <w:rStyle w:val="FootnoteReference"/>
        </w:rPr>
        <w:footnoteRef/>
      </w:r>
      <w:r>
        <w:t xml:space="preserve"> California Public Utilities Commission, March 2, 2017, </w:t>
      </w:r>
      <w:r w:rsidRPr="00086992">
        <w:rPr>
          <w:i/>
        </w:rPr>
        <w:t xml:space="preserve">Resolution </w:t>
      </w:r>
      <w:r>
        <w:rPr>
          <w:i/>
        </w:rPr>
        <w:t>E</w:t>
      </w:r>
      <w:r w:rsidRPr="00086992">
        <w:rPr>
          <w:i/>
        </w:rPr>
        <w:t>-</w:t>
      </w:r>
      <w:r>
        <w:rPr>
          <w:i/>
        </w:rPr>
        <w:t>4818.</w:t>
      </w:r>
      <w:r w:rsidRPr="00086992">
        <w:rPr>
          <w:i/>
        </w:rPr>
        <w:t xml:space="preserve"> </w:t>
      </w:r>
      <w:r>
        <w:rPr>
          <w:i/>
        </w:rPr>
        <w:t>Measure level baseline assignment and preponderance of evidence guidance to establish eligibility for an accelerated replacement baseline treatment.</w:t>
      </w:r>
    </w:p>
  </w:footnote>
  <w:footnote w:id="50">
    <w:p w14:paraId="5C66CE4C" w14:textId="77777777" w:rsidR="003B38BA" w:rsidRDefault="003B38BA" w:rsidP="00AB1CE4">
      <w:pPr>
        <w:pStyle w:val="FootnoteText"/>
      </w:pPr>
      <w:r>
        <w:rPr>
          <w:rStyle w:val="FootnoteReference"/>
        </w:rPr>
        <w:footnoteRef/>
      </w:r>
      <w:r>
        <w:t xml:space="preserve"> Accelerated Replacement currently includes ER, RE and RI, although rules regarding RE and RI are not yet defined per: </w:t>
      </w:r>
      <w:r w:rsidRPr="00795B1D">
        <w:t>California Public Utilities Commission, Energy Division</w:t>
      </w:r>
      <w:r>
        <w:t>,</w:t>
      </w:r>
      <w:r w:rsidRPr="00795B1D">
        <w:t xml:space="preserve"> March 2, 2017</w:t>
      </w:r>
      <w:r>
        <w:t>,</w:t>
      </w:r>
      <w:r w:rsidRPr="00795B1D">
        <w:t xml:space="preserve"> </w:t>
      </w:r>
      <w:r w:rsidRPr="00795B1D">
        <w:rPr>
          <w:i/>
        </w:rPr>
        <w:t>Resolution E-4818</w:t>
      </w:r>
      <w:r>
        <w:rPr>
          <w:i/>
        </w:rPr>
        <w:t>:</w:t>
      </w:r>
      <w:r w:rsidRPr="00795B1D">
        <w:rPr>
          <w:i/>
        </w:rPr>
        <w:t xml:space="preserve"> Measure level baseline assignment and preponderance of evidence guidance to establish eligibility for an accelerated replacement baseline treatment.</w:t>
      </w:r>
    </w:p>
  </w:footnote>
  <w:footnote w:id="51">
    <w:p w14:paraId="6F050FC6" w14:textId="77777777" w:rsidR="003B38BA" w:rsidRDefault="003B38BA" w:rsidP="008E39CC">
      <w:pPr>
        <w:pStyle w:val="FootnoteText"/>
      </w:pPr>
      <w:r>
        <w:rPr>
          <w:rStyle w:val="FootnoteReference"/>
        </w:rPr>
        <w:footnoteRef/>
      </w:r>
      <w:r>
        <w:t xml:space="preserve"> Working Group Created by D.</w:t>
      </w:r>
      <w:r w:rsidRPr="00176705">
        <w:t>16-08-019 to Develop Consensus Recommendations on Measure-Level Baseline Assignments</w:t>
      </w:r>
      <w:r>
        <w:t xml:space="preserve">, </w:t>
      </w:r>
      <w:r w:rsidRPr="00176705">
        <w:t>T1 Working Group Report</w:t>
      </w:r>
      <w:r>
        <w:t>, p. 13.</w:t>
      </w:r>
      <w:r w:rsidRPr="00176705">
        <w:t xml:space="preserve"> </w:t>
      </w:r>
    </w:p>
  </w:footnote>
  <w:footnote w:id="52">
    <w:p w14:paraId="303B1ACA" w14:textId="77777777" w:rsidR="003B38BA" w:rsidRDefault="003B38BA" w:rsidP="008E39CC">
      <w:pPr>
        <w:pStyle w:val="FootnoteText"/>
      </w:pPr>
      <w:r>
        <w:rPr>
          <w:rStyle w:val="FootnoteReference"/>
        </w:rPr>
        <w:footnoteRef/>
      </w:r>
      <w:r>
        <w:t xml:space="preserve"> </w:t>
      </w:r>
      <w:r w:rsidRPr="00765E9F">
        <w:t>T1 Working Group Report</w:t>
      </w:r>
      <w:r>
        <w:t xml:space="preserve">, </w:t>
      </w:r>
      <w:r w:rsidRPr="00765E9F">
        <w:t xml:space="preserve">p. 13. </w:t>
      </w:r>
    </w:p>
  </w:footnote>
  <w:footnote w:id="53">
    <w:p w14:paraId="67A9A564" w14:textId="77777777" w:rsidR="003B38BA" w:rsidRDefault="003B38BA" w:rsidP="00EB189D">
      <w:pPr>
        <w:pStyle w:val="FootnoteText"/>
      </w:pPr>
      <w:r>
        <w:rPr>
          <w:rStyle w:val="FootnoteReference"/>
        </w:rPr>
        <w:footnoteRef/>
      </w:r>
      <w:r>
        <w:t xml:space="preserve"> </w:t>
      </w:r>
      <w:r w:rsidRPr="00284823">
        <w:rPr>
          <w:i/>
        </w:rPr>
        <w:t>Energy Efficiency Policy Manual</w:t>
      </w:r>
      <w:r w:rsidRPr="00765E9F">
        <w:t>, p. 57</w:t>
      </w:r>
      <w:r>
        <w:t>.</w:t>
      </w:r>
    </w:p>
  </w:footnote>
  <w:footnote w:id="54">
    <w:p w14:paraId="09EFABAF" w14:textId="77777777" w:rsidR="003B38BA" w:rsidRDefault="003B38BA" w:rsidP="00EB189D">
      <w:pPr>
        <w:pStyle w:val="FootnoteText"/>
      </w:pPr>
      <w:r>
        <w:rPr>
          <w:rStyle w:val="FootnoteReference"/>
        </w:rPr>
        <w:footnoteRef/>
      </w:r>
      <w:r>
        <w:t xml:space="preserve"> </w:t>
      </w:r>
      <w:r w:rsidRPr="00AB6A69">
        <w:rPr>
          <w:i/>
        </w:rPr>
        <w:t>Energy Efficiency Policy Manual</w:t>
      </w:r>
      <w:r>
        <w:t>, p. 59.</w:t>
      </w:r>
    </w:p>
  </w:footnote>
  <w:footnote w:id="55">
    <w:p w14:paraId="4A9A0F59" w14:textId="77777777" w:rsidR="003B38BA" w:rsidRDefault="003B38BA" w:rsidP="00EB189D">
      <w:pPr>
        <w:pStyle w:val="FootnoteText"/>
      </w:pPr>
      <w:r>
        <w:rPr>
          <w:rStyle w:val="FootnoteReference"/>
        </w:rPr>
        <w:footnoteRef/>
      </w:r>
      <w:r>
        <w:t xml:space="preserve"> </w:t>
      </w:r>
      <w:r w:rsidRPr="00176705">
        <w:rPr>
          <w:i/>
        </w:rPr>
        <w:t>California Energy Efficiency Evaluation Protocols</w:t>
      </w:r>
      <w:r w:rsidRPr="00E34A1A">
        <w:t>, p. 217.</w:t>
      </w:r>
    </w:p>
  </w:footnote>
  <w:footnote w:id="56">
    <w:p w14:paraId="66B6648B" w14:textId="77777777" w:rsidR="003B38BA" w:rsidRDefault="003B38BA" w:rsidP="00EB189D">
      <w:pPr>
        <w:pStyle w:val="FootnoteText"/>
      </w:pPr>
      <w:r>
        <w:rPr>
          <w:rStyle w:val="FootnoteReference"/>
        </w:rPr>
        <w:footnoteRef/>
      </w:r>
      <w:r>
        <w:t xml:space="preserve"> </w:t>
      </w:r>
      <w:r w:rsidRPr="0052306B">
        <w:rPr>
          <w:i/>
        </w:rPr>
        <w:t>D.12-05-015</w:t>
      </w:r>
      <w:r>
        <w:t>.</w:t>
      </w:r>
    </w:p>
  </w:footnote>
  <w:footnote w:id="57">
    <w:p w14:paraId="7E3C28EB" w14:textId="77777777" w:rsidR="003B38BA" w:rsidRDefault="003B38BA" w:rsidP="00EB189D">
      <w:pPr>
        <w:pStyle w:val="FootnoteText"/>
      </w:pPr>
      <w:r>
        <w:rPr>
          <w:rStyle w:val="FootnoteReference"/>
        </w:rPr>
        <w:footnoteRef/>
      </w:r>
      <w:r>
        <w:t xml:space="preserve"> </w:t>
      </w:r>
      <w:r w:rsidRPr="00284823">
        <w:rPr>
          <w:i/>
        </w:rPr>
        <w:t>Energy Efficiency Policy Manual</w:t>
      </w:r>
      <w:r w:rsidRPr="003D42C1">
        <w:t xml:space="preserve">, </w:t>
      </w:r>
      <w:r w:rsidRPr="00397F2C">
        <w:t>p. 61.</w:t>
      </w:r>
    </w:p>
  </w:footnote>
  <w:footnote w:id="58">
    <w:p w14:paraId="4696AF93" w14:textId="77777777" w:rsidR="003B38BA" w:rsidRDefault="003B38BA" w:rsidP="00EB189D">
      <w:pPr>
        <w:pStyle w:val="FootnoteText"/>
      </w:pPr>
      <w:r>
        <w:rPr>
          <w:rStyle w:val="FootnoteReference"/>
        </w:rPr>
        <w:footnoteRef/>
      </w:r>
      <w:r>
        <w:t xml:space="preserve"> </w:t>
      </w:r>
      <w:r w:rsidRPr="00284823">
        <w:rPr>
          <w:i/>
        </w:rPr>
        <w:t>Energy Efficiency Policy Manual</w:t>
      </w:r>
      <w:r>
        <w:t xml:space="preserve">, </w:t>
      </w:r>
      <w:r w:rsidRPr="00397F2C">
        <w:t>p. 62.</w:t>
      </w:r>
    </w:p>
  </w:footnote>
  <w:footnote w:id="59">
    <w:p w14:paraId="2E0A1AC3" w14:textId="34C6FF4E" w:rsidR="003B38BA" w:rsidRDefault="003B38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2C32E" w14:textId="77777777" w:rsidR="003B38BA" w:rsidRDefault="003B38BA" w:rsidP="000376B4">
    <w:pPr>
      <w:pStyle w:val="Header"/>
      <w:tabs>
        <w:tab w:val="clear" w:pos="4680"/>
        <w:tab w:val="clear" w:pos="9360"/>
        <w:tab w:val="left" w:pos="366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31B7D" w14:textId="0A7ABBA0" w:rsidR="003B38BA" w:rsidRDefault="003B38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C18CA" w14:textId="77777777" w:rsidR="003B38BA" w:rsidRDefault="003B38BA" w:rsidP="000376B4">
    <w:pPr>
      <w:pStyle w:val="Header"/>
      <w:tabs>
        <w:tab w:val="clear" w:pos="4680"/>
        <w:tab w:val="clear" w:pos="9360"/>
        <w:tab w:val="left" w:pos="366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74F2"/>
    <w:multiLevelType w:val="hybridMultilevel"/>
    <w:tmpl w:val="82FEC374"/>
    <w:lvl w:ilvl="0" w:tplc="BBAE84D6">
      <w:start w:val="1"/>
      <w:numFmt w:val="bullet"/>
      <w:lvlText w:val=""/>
      <w:lvlJc w:val="left"/>
      <w:pPr>
        <w:ind w:left="720" w:hanging="360"/>
      </w:pPr>
      <w:rPr>
        <w:rFonts w:ascii="Symbol" w:hAnsi="Symbol" w:hint="default"/>
      </w:rPr>
    </w:lvl>
    <w:lvl w:ilvl="1" w:tplc="7F36CE8E">
      <w:start w:val="1"/>
      <w:numFmt w:val="bullet"/>
      <w:lvlText w:val="o"/>
      <w:lvlJc w:val="left"/>
      <w:pPr>
        <w:ind w:left="1440" w:hanging="360"/>
      </w:pPr>
      <w:rPr>
        <w:rFonts w:ascii="Courier New" w:hAnsi="Courier New" w:hint="default"/>
      </w:rPr>
    </w:lvl>
    <w:lvl w:ilvl="2" w:tplc="A98E1C56">
      <w:start w:val="1"/>
      <w:numFmt w:val="bullet"/>
      <w:lvlText w:val=""/>
      <w:lvlJc w:val="left"/>
      <w:pPr>
        <w:ind w:left="2160" w:hanging="360"/>
      </w:pPr>
      <w:rPr>
        <w:rFonts w:ascii="Wingdings" w:hAnsi="Wingdings" w:hint="default"/>
      </w:rPr>
    </w:lvl>
    <w:lvl w:ilvl="3" w:tplc="6DBA1514">
      <w:start w:val="1"/>
      <w:numFmt w:val="bullet"/>
      <w:lvlText w:val=""/>
      <w:lvlJc w:val="left"/>
      <w:pPr>
        <w:ind w:left="2880" w:hanging="360"/>
      </w:pPr>
      <w:rPr>
        <w:rFonts w:ascii="Symbol" w:hAnsi="Symbol" w:hint="default"/>
      </w:rPr>
    </w:lvl>
    <w:lvl w:ilvl="4" w:tplc="242E7CBC">
      <w:start w:val="1"/>
      <w:numFmt w:val="bullet"/>
      <w:lvlText w:val="o"/>
      <w:lvlJc w:val="left"/>
      <w:pPr>
        <w:ind w:left="3600" w:hanging="360"/>
      </w:pPr>
      <w:rPr>
        <w:rFonts w:ascii="Courier New" w:hAnsi="Courier New" w:hint="default"/>
      </w:rPr>
    </w:lvl>
    <w:lvl w:ilvl="5" w:tplc="C09A51E0">
      <w:start w:val="1"/>
      <w:numFmt w:val="bullet"/>
      <w:lvlText w:val=""/>
      <w:lvlJc w:val="left"/>
      <w:pPr>
        <w:ind w:left="4320" w:hanging="360"/>
      </w:pPr>
      <w:rPr>
        <w:rFonts w:ascii="Wingdings" w:hAnsi="Wingdings" w:hint="default"/>
      </w:rPr>
    </w:lvl>
    <w:lvl w:ilvl="6" w:tplc="7D4C5CC0">
      <w:start w:val="1"/>
      <w:numFmt w:val="bullet"/>
      <w:lvlText w:val=""/>
      <w:lvlJc w:val="left"/>
      <w:pPr>
        <w:ind w:left="5040" w:hanging="360"/>
      </w:pPr>
      <w:rPr>
        <w:rFonts w:ascii="Symbol" w:hAnsi="Symbol" w:hint="default"/>
      </w:rPr>
    </w:lvl>
    <w:lvl w:ilvl="7" w:tplc="C4AC8B02">
      <w:start w:val="1"/>
      <w:numFmt w:val="bullet"/>
      <w:lvlText w:val="o"/>
      <w:lvlJc w:val="left"/>
      <w:pPr>
        <w:ind w:left="5760" w:hanging="360"/>
      </w:pPr>
      <w:rPr>
        <w:rFonts w:ascii="Courier New" w:hAnsi="Courier New" w:hint="default"/>
      </w:rPr>
    </w:lvl>
    <w:lvl w:ilvl="8" w:tplc="6D7CB27E">
      <w:start w:val="1"/>
      <w:numFmt w:val="bullet"/>
      <w:lvlText w:val=""/>
      <w:lvlJc w:val="left"/>
      <w:pPr>
        <w:ind w:left="6480" w:hanging="360"/>
      </w:pPr>
      <w:rPr>
        <w:rFonts w:ascii="Wingdings" w:hAnsi="Wingdings" w:hint="default"/>
      </w:rPr>
    </w:lvl>
  </w:abstractNum>
  <w:abstractNum w:abstractNumId="1" w15:restartNumberingAfterBreak="0">
    <w:nsid w:val="0A6506A3"/>
    <w:multiLevelType w:val="hybridMultilevel"/>
    <w:tmpl w:val="5E02F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6146A"/>
    <w:multiLevelType w:val="hybridMultilevel"/>
    <w:tmpl w:val="FFFFFFFF"/>
    <w:lvl w:ilvl="0" w:tplc="CE342CA2">
      <w:start w:val="1"/>
      <w:numFmt w:val="bullet"/>
      <w:lvlText w:val=""/>
      <w:lvlJc w:val="left"/>
      <w:pPr>
        <w:ind w:left="720" w:hanging="360"/>
      </w:pPr>
      <w:rPr>
        <w:rFonts w:ascii="Symbol" w:hAnsi="Symbol" w:hint="default"/>
      </w:rPr>
    </w:lvl>
    <w:lvl w:ilvl="1" w:tplc="A0DEDC48">
      <w:start w:val="1"/>
      <w:numFmt w:val="bullet"/>
      <w:lvlText w:val="o"/>
      <w:lvlJc w:val="left"/>
      <w:pPr>
        <w:ind w:left="1440" w:hanging="360"/>
      </w:pPr>
      <w:rPr>
        <w:rFonts w:ascii="Courier New" w:hAnsi="Courier New" w:hint="default"/>
      </w:rPr>
    </w:lvl>
    <w:lvl w:ilvl="2" w:tplc="44C00DB4">
      <w:start w:val="1"/>
      <w:numFmt w:val="bullet"/>
      <w:lvlText w:val=""/>
      <w:lvlJc w:val="left"/>
      <w:pPr>
        <w:ind w:left="2160" w:hanging="360"/>
      </w:pPr>
      <w:rPr>
        <w:rFonts w:ascii="Wingdings" w:hAnsi="Wingdings" w:hint="default"/>
      </w:rPr>
    </w:lvl>
    <w:lvl w:ilvl="3" w:tplc="3754EAB8">
      <w:start w:val="1"/>
      <w:numFmt w:val="bullet"/>
      <w:lvlText w:val=""/>
      <w:lvlJc w:val="left"/>
      <w:pPr>
        <w:ind w:left="2880" w:hanging="360"/>
      </w:pPr>
      <w:rPr>
        <w:rFonts w:ascii="Symbol" w:hAnsi="Symbol" w:hint="default"/>
      </w:rPr>
    </w:lvl>
    <w:lvl w:ilvl="4" w:tplc="389AEEB0">
      <w:start w:val="1"/>
      <w:numFmt w:val="bullet"/>
      <w:lvlText w:val="o"/>
      <w:lvlJc w:val="left"/>
      <w:pPr>
        <w:ind w:left="3600" w:hanging="360"/>
      </w:pPr>
      <w:rPr>
        <w:rFonts w:ascii="Courier New" w:hAnsi="Courier New" w:hint="default"/>
      </w:rPr>
    </w:lvl>
    <w:lvl w:ilvl="5" w:tplc="6798B80A">
      <w:start w:val="1"/>
      <w:numFmt w:val="bullet"/>
      <w:lvlText w:val=""/>
      <w:lvlJc w:val="left"/>
      <w:pPr>
        <w:ind w:left="4320" w:hanging="360"/>
      </w:pPr>
      <w:rPr>
        <w:rFonts w:ascii="Wingdings" w:hAnsi="Wingdings" w:hint="default"/>
      </w:rPr>
    </w:lvl>
    <w:lvl w:ilvl="6" w:tplc="DAE66B56">
      <w:start w:val="1"/>
      <w:numFmt w:val="bullet"/>
      <w:lvlText w:val=""/>
      <w:lvlJc w:val="left"/>
      <w:pPr>
        <w:ind w:left="5040" w:hanging="360"/>
      </w:pPr>
      <w:rPr>
        <w:rFonts w:ascii="Symbol" w:hAnsi="Symbol" w:hint="default"/>
      </w:rPr>
    </w:lvl>
    <w:lvl w:ilvl="7" w:tplc="1A1869C2">
      <w:start w:val="1"/>
      <w:numFmt w:val="bullet"/>
      <w:lvlText w:val="o"/>
      <w:lvlJc w:val="left"/>
      <w:pPr>
        <w:ind w:left="5760" w:hanging="360"/>
      </w:pPr>
      <w:rPr>
        <w:rFonts w:ascii="Courier New" w:hAnsi="Courier New" w:hint="default"/>
      </w:rPr>
    </w:lvl>
    <w:lvl w:ilvl="8" w:tplc="9ED6072A">
      <w:start w:val="1"/>
      <w:numFmt w:val="bullet"/>
      <w:lvlText w:val=""/>
      <w:lvlJc w:val="left"/>
      <w:pPr>
        <w:ind w:left="6480" w:hanging="360"/>
      </w:pPr>
      <w:rPr>
        <w:rFonts w:ascii="Wingdings" w:hAnsi="Wingdings" w:hint="default"/>
      </w:rPr>
    </w:lvl>
  </w:abstractNum>
  <w:abstractNum w:abstractNumId="3" w15:restartNumberingAfterBreak="0">
    <w:nsid w:val="1C8128C7"/>
    <w:multiLevelType w:val="multilevel"/>
    <w:tmpl w:val="9A786E92"/>
    <w:lvl w:ilvl="0">
      <w:start w:val="1"/>
      <w:numFmt w:val="decimal"/>
      <w:pStyle w:val="AppendixH1"/>
      <w:lvlText w:val="Chapter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D9A4C4C"/>
    <w:multiLevelType w:val="multilevel"/>
    <w:tmpl w:val="93DE53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BB2EBA"/>
    <w:multiLevelType w:val="hybridMultilevel"/>
    <w:tmpl w:val="4FF4D3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06A4C82"/>
    <w:multiLevelType w:val="multilevel"/>
    <w:tmpl w:val="EC32FE4C"/>
    <w:styleLink w:val="AppendixHeadings"/>
    <w:lvl w:ilvl="0">
      <w:start w:val="1"/>
      <w:numFmt w:val="upperLetter"/>
      <w:pStyle w:val="AppendixH5"/>
      <w:lvlText w:val="Appendix %1"/>
      <w:lvlJc w:val="left"/>
      <w:pPr>
        <w:ind w:left="432" w:hanging="432"/>
      </w:pPr>
      <w:rPr>
        <w:rFonts w:hint="default"/>
      </w:rPr>
    </w:lvl>
    <w:lvl w:ilvl="1">
      <w:start w:val="1"/>
      <w:numFmt w:val="decimal"/>
      <w:pStyle w:val="AppendixH2"/>
      <w:lvlText w:val="%1.%2"/>
      <w:lvlJc w:val="left"/>
      <w:pPr>
        <w:ind w:left="576" w:hanging="576"/>
      </w:pPr>
      <w:rPr>
        <w:rFonts w:hint="default"/>
        <w:b w:val="0"/>
      </w:rPr>
    </w:lvl>
    <w:lvl w:ilvl="2">
      <w:start w:val="1"/>
      <w:numFmt w:val="decimal"/>
      <w:pStyle w:val="AppendixH3"/>
      <w:lvlText w:val="%1.%2.%3"/>
      <w:lvlJc w:val="left"/>
      <w:pPr>
        <w:ind w:left="720" w:hanging="720"/>
      </w:pPr>
      <w:rPr>
        <w:rFonts w:hint="default"/>
      </w:rPr>
    </w:lvl>
    <w:lvl w:ilvl="3">
      <w:start w:val="1"/>
      <w:numFmt w:val="decimal"/>
      <w:pStyle w:val="AppendixH4"/>
      <w:lvlText w:val="%1.%2.%3.%4"/>
      <w:lvlJc w:val="left"/>
      <w:pPr>
        <w:ind w:left="864" w:hanging="864"/>
      </w:pPr>
      <w:rPr>
        <w:rFonts w:hint="default"/>
      </w:rPr>
    </w:lvl>
    <w:lvl w:ilvl="4">
      <w:start w:val="1"/>
      <w:numFmt w:val="decimal"/>
      <w:pStyle w:val="AppendixH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1B12D7C"/>
    <w:multiLevelType w:val="hybridMultilevel"/>
    <w:tmpl w:val="3F08A044"/>
    <w:lvl w:ilvl="0" w:tplc="C86A0F6E">
      <w:start w:val="1"/>
      <w:numFmt w:val="bullet"/>
      <w:lvlText w:val=""/>
      <w:lvlJc w:val="left"/>
      <w:pPr>
        <w:ind w:left="720" w:hanging="360"/>
      </w:pPr>
      <w:rPr>
        <w:rFonts w:ascii="Symbol" w:hAnsi="Symbol" w:hint="default"/>
      </w:rPr>
    </w:lvl>
    <w:lvl w:ilvl="1" w:tplc="3C8AFE52">
      <w:start w:val="1"/>
      <w:numFmt w:val="bullet"/>
      <w:lvlText w:val="o"/>
      <w:lvlJc w:val="left"/>
      <w:pPr>
        <w:ind w:left="1440" w:hanging="360"/>
      </w:pPr>
      <w:rPr>
        <w:rFonts w:ascii="Courier New" w:hAnsi="Courier New" w:hint="default"/>
      </w:rPr>
    </w:lvl>
    <w:lvl w:ilvl="2" w:tplc="2EA24106">
      <w:start w:val="1"/>
      <w:numFmt w:val="bullet"/>
      <w:lvlText w:val=""/>
      <w:lvlJc w:val="left"/>
      <w:pPr>
        <w:ind w:left="2160" w:hanging="360"/>
      </w:pPr>
      <w:rPr>
        <w:rFonts w:ascii="Wingdings" w:hAnsi="Wingdings" w:hint="default"/>
      </w:rPr>
    </w:lvl>
    <w:lvl w:ilvl="3" w:tplc="F2F8D416">
      <w:start w:val="1"/>
      <w:numFmt w:val="bullet"/>
      <w:lvlText w:val=""/>
      <w:lvlJc w:val="left"/>
      <w:pPr>
        <w:ind w:left="2880" w:hanging="360"/>
      </w:pPr>
      <w:rPr>
        <w:rFonts w:ascii="Symbol" w:hAnsi="Symbol" w:hint="default"/>
      </w:rPr>
    </w:lvl>
    <w:lvl w:ilvl="4" w:tplc="F07420B6">
      <w:start w:val="1"/>
      <w:numFmt w:val="bullet"/>
      <w:lvlText w:val="o"/>
      <w:lvlJc w:val="left"/>
      <w:pPr>
        <w:ind w:left="3600" w:hanging="360"/>
      </w:pPr>
      <w:rPr>
        <w:rFonts w:ascii="Courier New" w:hAnsi="Courier New" w:hint="default"/>
      </w:rPr>
    </w:lvl>
    <w:lvl w:ilvl="5" w:tplc="29727EB6">
      <w:start w:val="1"/>
      <w:numFmt w:val="bullet"/>
      <w:lvlText w:val=""/>
      <w:lvlJc w:val="left"/>
      <w:pPr>
        <w:ind w:left="4320" w:hanging="360"/>
      </w:pPr>
      <w:rPr>
        <w:rFonts w:ascii="Wingdings" w:hAnsi="Wingdings" w:hint="default"/>
      </w:rPr>
    </w:lvl>
    <w:lvl w:ilvl="6" w:tplc="7B448660">
      <w:start w:val="1"/>
      <w:numFmt w:val="bullet"/>
      <w:lvlText w:val=""/>
      <w:lvlJc w:val="left"/>
      <w:pPr>
        <w:ind w:left="5040" w:hanging="360"/>
      </w:pPr>
      <w:rPr>
        <w:rFonts w:ascii="Symbol" w:hAnsi="Symbol" w:hint="default"/>
      </w:rPr>
    </w:lvl>
    <w:lvl w:ilvl="7" w:tplc="75FA7F8C">
      <w:start w:val="1"/>
      <w:numFmt w:val="bullet"/>
      <w:lvlText w:val="o"/>
      <w:lvlJc w:val="left"/>
      <w:pPr>
        <w:ind w:left="5760" w:hanging="360"/>
      </w:pPr>
      <w:rPr>
        <w:rFonts w:ascii="Courier New" w:hAnsi="Courier New" w:hint="default"/>
      </w:rPr>
    </w:lvl>
    <w:lvl w:ilvl="8" w:tplc="88CC97CA">
      <w:start w:val="1"/>
      <w:numFmt w:val="bullet"/>
      <w:lvlText w:val=""/>
      <w:lvlJc w:val="left"/>
      <w:pPr>
        <w:ind w:left="6480" w:hanging="360"/>
      </w:pPr>
      <w:rPr>
        <w:rFonts w:ascii="Wingdings" w:hAnsi="Wingdings" w:hint="default"/>
      </w:rPr>
    </w:lvl>
  </w:abstractNum>
  <w:abstractNum w:abstractNumId="8" w15:restartNumberingAfterBreak="0">
    <w:nsid w:val="30840232"/>
    <w:multiLevelType w:val="hybridMultilevel"/>
    <w:tmpl w:val="E5E2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E1FD7"/>
    <w:multiLevelType w:val="hybridMultilevel"/>
    <w:tmpl w:val="F2124C1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5CC0884"/>
    <w:multiLevelType w:val="hybridMultilevel"/>
    <w:tmpl w:val="5ACA6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FD52DE"/>
    <w:multiLevelType w:val="hybridMultilevel"/>
    <w:tmpl w:val="48CC43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D0A5EFA"/>
    <w:multiLevelType w:val="multilevel"/>
    <w:tmpl w:val="EC0E6D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1895C8C"/>
    <w:multiLevelType w:val="hybridMultilevel"/>
    <w:tmpl w:val="5B2AD794"/>
    <w:lvl w:ilvl="0" w:tplc="CB6207C4">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94131A"/>
    <w:multiLevelType w:val="hybridMultilevel"/>
    <w:tmpl w:val="636A63F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87F86"/>
    <w:multiLevelType w:val="multilevel"/>
    <w:tmpl w:val="26E805F6"/>
    <w:styleLink w:val="Headings"/>
    <w:lvl w:ilvl="0">
      <w:start w:val="1"/>
      <w:numFmt w:val="decimal"/>
      <w:pStyle w:val="Heading1"/>
      <w:lvlText w:val="Chapter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tabs>
          <w:tab w:val="num" w:pos="3708"/>
        </w:tabs>
        <w:ind w:left="2700" w:firstLine="0"/>
      </w:pPr>
      <w:rPr>
        <w:rFonts w:hint="default"/>
      </w:rPr>
    </w:lvl>
    <w:lvl w:ilvl="4">
      <w:start w:val="1"/>
      <w:numFmt w:val="decimal"/>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6CF2805"/>
    <w:multiLevelType w:val="multilevel"/>
    <w:tmpl w:val="19343DB2"/>
    <w:styleLink w:val="AppendixHeadings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FC61AE"/>
    <w:multiLevelType w:val="hybridMultilevel"/>
    <w:tmpl w:val="F5E63C0C"/>
    <w:lvl w:ilvl="0" w:tplc="087009D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67060"/>
    <w:multiLevelType w:val="hybridMultilevel"/>
    <w:tmpl w:val="AF7C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5572BA"/>
    <w:multiLevelType w:val="hybridMultilevel"/>
    <w:tmpl w:val="17DA4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9F0AD2"/>
    <w:multiLevelType w:val="hybridMultilevel"/>
    <w:tmpl w:val="AF107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2A1144"/>
    <w:multiLevelType w:val="hybridMultilevel"/>
    <w:tmpl w:val="1FAC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270E70"/>
    <w:multiLevelType w:val="hybridMultilevel"/>
    <w:tmpl w:val="408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0E1346"/>
    <w:multiLevelType w:val="hybridMultilevel"/>
    <w:tmpl w:val="FFFFFFFF"/>
    <w:lvl w:ilvl="0" w:tplc="51301DD6">
      <w:start w:val="1"/>
      <w:numFmt w:val="bullet"/>
      <w:lvlText w:val=""/>
      <w:lvlJc w:val="left"/>
      <w:pPr>
        <w:ind w:left="720" w:hanging="360"/>
      </w:pPr>
      <w:rPr>
        <w:rFonts w:ascii="Symbol" w:hAnsi="Symbol" w:hint="default"/>
      </w:rPr>
    </w:lvl>
    <w:lvl w:ilvl="1" w:tplc="ECB47758">
      <w:start w:val="1"/>
      <w:numFmt w:val="bullet"/>
      <w:lvlText w:val="o"/>
      <w:lvlJc w:val="left"/>
      <w:pPr>
        <w:ind w:left="1440" w:hanging="360"/>
      </w:pPr>
      <w:rPr>
        <w:rFonts w:ascii="Courier New" w:hAnsi="Courier New" w:hint="default"/>
      </w:rPr>
    </w:lvl>
    <w:lvl w:ilvl="2" w:tplc="DFC88126">
      <w:start w:val="1"/>
      <w:numFmt w:val="bullet"/>
      <w:lvlText w:val=""/>
      <w:lvlJc w:val="left"/>
      <w:pPr>
        <w:ind w:left="2160" w:hanging="360"/>
      </w:pPr>
      <w:rPr>
        <w:rFonts w:ascii="Wingdings" w:hAnsi="Wingdings" w:hint="default"/>
      </w:rPr>
    </w:lvl>
    <w:lvl w:ilvl="3" w:tplc="25C2DF92">
      <w:start w:val="1"/>
      <w:numFmt w:val="bullet"/>
      <w:lvlText w:val=""/>
      <w:lvlJc w:val="left"/>
      <w:pPr>
        <w:ind w:left="2880" w:hanging="360"/>
      </w:pPr>
      <w:rPr>
        <w:rFonts w:ascii="Symbol" w:hAnsi="Symbol" w:hint="default"/>
      </w:rPr>
    </w:lvl>
    <w:lvl w:ilvl="4" w:tplc="6E1491BA">
      <w:start w:val="1"/>
      <w:numFmt w:val="bullet"/>
      <w:lvlText w:val="o"/>
      <w:lvlJc w:val="left"/>
      <w:pPr>
        <w:ind w:left="3600" w:hanging="360"/>
      </w:pPr>
      <w:rPr>
        <w:rFonts w:ascii="Courier New" w:hAnsi="Courier New" w:hint="default"/>
      </w:rPr>
    </w:lvl>
    <w:lvl w:ilvl="5" w:tplc="33327BC6">
      <w:start w:val="1"/>
      <w:numFmt w:val="bullet"/>
      <w:lvlText w:val=""/>
      <w:lvlJc w:val="left"/>
      <w:pPr>
        <w:ind w:left="4320" w:hanging="360"/>
      </w:pPr>
      <w:rPr>
        <w:rFonts w:ascii="Wingdings" w:hAnsi="Wingdings" w:hint="default"/>
      </w:rPr>
    </w:lvl>
    <w:lvl w:ilvl="6" w:tplc="DFBE3C1E">
      <w:start w:val="1"/>
      <w:numFmt w:val="bullet"/>
      <w:lvlText w:val=""/>
      <w:lvlJc w:val="left"/>
      <w:pPr>
        <w:ind w:left="5040" w:hanging="360"/>
      </w:pPr>
      <w:rPr>
        <w:rFonts w:ascii="Symbol" w:hAnsi="Symbol" w:hint="default"/>
      </w:rPr>
    </w:lvl>
    <w:lvl w:ilvl="7" w:tplc="DF6A8D72">
      <w:start w:val="1"/>
      <w:numFmt w:val="bullet"/>
      <w:lvlText w:val="o"/>
      <w:lvlJc w:val="left"/>
      <w:pPr>
        <w:ind w:left="5760" w:hanging="360"/>
      </w:pPr>
      <w:rPr>
        <w:rFonts w:ascii="Courier New" w:hAnsi="Courier New" w:hint="default"/>
      </w:rPr>
    </w:lvl>
    <w:lvl w:ilvl="8" w:tplc="DCA09172">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3"/>
  </w:num>
  <w:num w:numId="4">
    <w:abstractNumId w:val="3"/>
  </w:num>
  <w:num w:numId="5">
    <w:abstractNumId w:val="4"/>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7"/>
  </w:num>
  <w:num w:numId="9">
    <w:abstractNumId w:val="15"/>
  </w:num>
  <w:num w:numId="10">
    <w:abstractNumId w:val="1"/>
  </w:num>
  <w:num w:numId="11">
    <w:abstractNumId w:val="8"/>
  </w:num>
  <w:num w:numId="12">
    <w:abstractNumId w:val="2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4"/>
  </w:num>
  <w:num w:numId="21">
    <w:abstractNumId w:val="19"/>
  </w:num>
  <w:num w:numId="22">
    <w:abstractNumId w:val="1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0"/>
  </w:num>
  <w:num w:numId="35">
    <w:abstractNumId w:val="21"/>
  </w:num>
  <w:num w:numId="36">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57E"/>
    <w:rsid w:val="000010AB"/>
    <w:rsid w:val="00001AE9"/>
    <w:rsid w:val="00002F22"/>
    <w:rsid w:val="000032B4"/>
    <w:rsid w:val="000034EF"/>
    <w:rsid w:val="00003903"/>
    <w:rsid w:val="00003B3A"/>
    <w:rsid w:val="00003C1D"/>
    <w:rsid w:val="00003E4E"/>
    <w:rsid w:val="00003FD7"/>
    <w:rsid w:val="00004333"/>
    <w:rsid w:val="00004739"/>
    <w:rsid w:val="00004912"/>
    <w:rsid w:val="000052B3"/>
    <w:rsid w:val="00005302"/>
    <w:rsid w:val="000053BF"/>
    <w:rsid w:val="00005627"/>
    <w:rsid w:val="00005F4B"/>
    <w:rsid w:val="00006435"/>
    <w:rsid w:val="00006A9C"/>
    <w:rsid w:val="00006C14"/>
    <w:rsid w:val="00006C51"/>
    <w:rsid w:val="00006CBA"/>
    <w:rsid w:val="0000763B"/>
    <w:rsid w:val="000079A9"/>
    <w:rsid w:val="00010467"/>
    <w:rsid w:val="00010CE4"/>
    <w:rsid w:val="000113FD"/>
    <w:rsid w:val="00011682"/>
    <w:rsid w:val="00011B47"/>
    <w:rsid w:val="00011D16"/>
    <w:rsid w:val="000125AE"/>
    <w:rsid w:val="000126ED"/>
    <w:rsid w:val="0001298F"/>
    <w:rsid w:val="00012D06"/>
    <w:rsid w:val="000133FC"/>
    <w:rsid w:val="00013A65"/>
    <w:rsid w:val="000140FA"/>
    <w:rsid w:val="00014563"/>
    <w:rsid w:val="0001500D"/>
    <w:rsid w:val="000151FB"/>
    <w:rsid w:val="0001522B"/>
    <w:rsid w:val="000167A1"/>
    <w:rsid w:val="00016961"/>
    <w:rsid w:val="00016AAB"/>
    <w:rsid w:val="00020223"/>
    <w:rsid w:val="00020250"/>
    <w:rsid w:val="00020293"/>
    <w:rsid w:val="0002083C"/>
    <w:rsid w:val="00020E51"/>
    <w:rsid w:val="000212CC"/>
    <w:rsid w:val="00021C15"/>
    <w:rsid w:val="000222F6"/>
    <w:rsid w:val="00022AD4"/>
    <w:rsid w:val="00022C16"/>
    <w:rsid w:val="000232A8"/>
    <w:rsid w:val="00023749"/>
    <w:rsid w:val="0002379E"/>
    <w:rsid w:val="00024E18"/>
    <w:rsid w:val="00027031"/>
    <w:rsid w:val="00027EF7"/>
    <w:rsid w:val="00030242"/>
    <w:rsid w:val="00030C84"/>
    <w:rsid w:val="00032157"/>
    <w:rsid w:val="000328E0"/>
    <w:rsid w:val="0003446E"/>
    <w:rsid w:val="0003572D"/>
    <w:rsid w:val="00035E3F"/>
    <w:rsid w:val="000361B4"/>
    <w:rsid w:val="0003621C"/>
    <w:rsid w:val="00036883"/>
    <w:rsid w:val="00036FDB"/>
    <w:rsid w:val="000376B4"/>
    <w:rsid w:val="0003789E"/>
    <w:rsid w:val="00037BCC"/>
    <w:rsid w:val="00037D78"/>
    <w:rsid w:val="00037D84"/>
    <w:rsid w:val="000401D0"/>
    <w:rsid w:val="00040451"/>
    <w:rsid w:val="00040B91"/>
    <w:rsid w:val="00040FD6"/>
    <w:rsid w:val="00042500"/>
    <w:rsid w:val="00042846"/>
    <w:rsid w:val="000433A5"/>
    <w:rsid w:val="000435F2"/>
    <w:rsid w:val="000448E0"/>
    <w:rsid w:val="00044B6F"/>
    <w:rsid w:val="0004536D"/>
    <w:rsid w:val="00045745"/>
    <w:rsid w:val="000457A0"/>
    <w:rsid w:val="000459E8"/>
    <w:rsid w:val="00045AB5"/>
    <w:rsid w:val="00045F58"/>
    <w:rsid w:val="0004675D"/>
    <w:rsid w:val="00046B0F"/>
    <w:rsid w:val="00047878"/>
    <w:rsid w:val="00047A9E"/>
    <w:rsid w:val="00047DB0"/>
    <w:rsid w:val="00047F3D"/>
    <w:rsid w:val="000511C0"/>
    <w:rsid w:val="00051CEB"/>
    <w:rsid w:val="00052C74"/>
    <w:rsid w:val="00053420"/>
    <w:rsid w:val="000534FB"/>
    <w:rsid w:val="00054502"/>
    <w:rsid w:val="000545A1"/>
    <w:rsid w:val="0005470F"/>
    <w:rsid w:val="00054D81"/>
    <w:rsid w:val="00055415"/>
    <w:rsid w:val="0005543F"/>
    <w:rsid w:val="000554FA"/>
    <w:rsid w:val="0005550D"/>
    <w:rsid w:val="000558AA"/>
    <w:rsid w:val="00055B77"/>
    <w:rsid w:val="00055E78"/>
    <w:rsid w:val="000563E2"/>
    <w:rsid w:val="0005676E"/>
    <w:rsid w:val="00057687"/>
    <w:rsid w:val="00057BD4"/>
    <w:rsid w:val="00057F78"/>
    <w:rsid w:val="000600BA"/>
    <w:rsid w:val="000606D7"/>
    <w:rsid w:val="00060C4A"/>
    <w:rsid w:val="00060F24"/>
    <w:rsid w:val="00061F68"/>
    <w:rsid w:val="00062140"/>
    <w:rsid w:val="0006256C"/>
    <w:rsid w:val="00063495"/>
    <w:rsid w:val="00063CDC"/>
    <w:rsid w:val="00063F92"/>
    <w:rsid w:val="00064712"/>
    <w:rsid w:val="0006473E"/>
    <w:rsid w:val="0006487F"/>
    <w:rsid w:val="00065550"/>
    <w:rsid w:val="000656C7"/>
    <w:rsid w:val="00065739"/>
    <w:rsid w:val="0006582A"/>
    <w:rsid w:val="00065AF1"/>
    <w:rsid w:val="00065DDF"/>
    <w:rsid w:val="00065F54"/>
    <w:rsid w:val="0006666A"/>
    <w:rsid w:val="00066879"/>
    <w:rsid w:val="000704EC"/>
    <w:rsid w:val="00070AF9"/>
    <w:rsid w:val="000716B2"/>
    <w:rsid w:val="00071E75"/>
    <w:rsid w:val="00072681"/>
    <w:rsid w:val="0007283B"/>
    <w:rsid w:val="00072904"/>
    <w:rsid w:val="00072CE9"/>
    <w:rsid w:val="00073333"/>
    <w:rsid w:val="0007364C"/>
    <w:rsid w:val="0007374C"/>
    <w:rsid w:val="000737AA"/>
    <w:rsid w:val="000740F6"/>
    <w:rsid w:val="00074342"/>
    <w:rsid w:val="00074B34"/>
    <w:rsid w:val="000752BD"/>
    <w:rsid w:val="00075631"/>
    <w:rsid w:val="00075864"/>
    <w:rsid w:val="00075BF7"/>
    <w:rsid w:val="00075FB0"/>
    <w:rsid w:val="000764F8"/>
    <w:rsid w:val="00076B04"/>
    <w:rsid w:val="00077216"/>
    <w:rsid w:val="000772B7"/>
    <w:rsid w:val="00077A40"/>
    <w:rsid w:val="00077A65"/>
    <w:rsid w:val="00077AB9"/>
    <w:rsid w:val="0008029C"/>
    <w:rsid w:val="0008067F"/>
    <w:rsid w:val="00080DB2"/>
    <w:rsid w:val="0008153A"/>
    <w:rsid w:val="000817BC"/>
    <w:rsid w:val="00082613"/>
    <w:rsid w:val="000826D2"/>
    <w:rsid w:val="00082823"/>
    <w:rsid w:val="00082FBF"/>
    <w:rsid w:val="00083D1D"/>
    <w:rsid w:val="00084051"/>
    <w:rsid w:val="000841C0"/>
    <w:rsid w:val="0008431A"/>
    <w:rsid w:val="0008474D"/>
    <w:rsid w:val="00084CAA"/>
    <w:rsid w:val="00084D53"/>
    <w:rsid w:val="00084FB1"/>
    <w:rsid w:val="00085C1E"/>
    <w:rsid w:val="00085D30"/>
    <w:rsid w:val="000861C9"/>
    <w:rsid w:val="00086992"/>
    <w:rsid w:val="00086AF6"/>
    <w:rsid w:val="00087DDB"/>
    <w:rsid w:val="00090671"/>
    <w:rsid w:val="00090698"/>
    <w:rsid w:val="000906DC"/>
    <w:rsid w:val="00090D38"/>
    <w:rsid w:val="000919B1"/>
    <w:rsid w:val="00091CA2"/>
    <w:rsid w:val="000920B2"/>
    <w:rsid w:val="00092140"/>
    <w:rsid w:val="00092183"/>
    <w:rsid w:val="0009316A"/>
    <w:rsid w:val="0009423A"/>
    <w:rsid w:val="000958E2"/>
    <w:rsid w:val="00095975"/>
    <w:rsid w:val="00095C25"/>
    <w:rsid w:val="00095CCB"/>
    <w:rsid w:val="0009651C"/>
    <w:rsid w:val="00096842"/>
    <w:rsid w:val="000970D7"/>
    <w:rsid w:val="00097179"/>
    <w:rsid w:val="000972E0"/>
    <w:rsid w:val="000972FF"/>
    <w:rsid w:val="0009754A"/>
    <w:rsid w:val="0009774C"/>
    <w:rsid w:val="000977A3"/>
    <w:rsid w:val="00097AB7"/>
    <w:rsid w:val="00097E86"/>
    <w:rsid w:val="00097F25"/>
    <w:rsid w:val="000A0121"/>
    <w:rsid w:val="000A01DC"/>
    <w:rsid w:val="000A0F4E"/>
    <w:rsid w:val="000A1059"/>
    <w:rsid w:val="000A1576"/>
    <w:rsid w:val="000A1821"/>
    <w:rsid w:val="000A1C99"/>
    <w:rsid w:val="000A29F5"/>
    <w:rsid w:val="000A2BA4"/>
    <w:rsid w:val="000A2C0B"/>
    <w:rsid w:val="000A33FF"/>
    <w:rsid w:val="000A39DC"/>
    <w:rsid w:val="000A3CFC"/>
    <w:rsid w:val="000A43CE"/>
    <w:rsid w:val="000A448F"/>
    <w:rsid w:val="000A4A2B"/>
    <w:rsid w:val="000A4A5D"/>
    <w:rsid w:val="000A4F23"/>
    <w:rsid w:val="000A5680"/>
    <w:rsid w:val="000A5BE9"/>
    <w:rsid w:val="000A61D2"/>
    <w:rsid w:val="000A66D2"/>
    <w:rsid w:val="000A6A00"/>
    <w:rsid w:val="000A7036"/>
    <w:rsid w:val="000A74DE"/>
    <w:rsid w:val="000B0606"/>
    <w:rsid w:val="000B19C4"/>
    <w:rsid w:val="000B1B22"/>
    <w:rsid w:val="000B2E26"/>
    <w:rsid w:val="000B35BD"/>
    <w:rsid w:val="000B4E67"/>
    <w:rsid w:val="000B4E90"/>
    <w:rsid w:val="000B6513"/>
    <w:rsid w:val="000B65BB"/>
    <w:rsid w:val="000B65E6"/>
    <w:rsid w:val="000B69B1"/>
    <w:rsid w:val="000C0990"/>
    <w:rsid w:val="000C1887"/>
    <w:rsid w:val="000C1C4D"/>
    <w:rsid w:val="000C2554"/>
    <w:rsid w:val="000C2AF3"/>
    <w:rsid w:val="000C32C9"/>
    <w:rsid w:val="000C3414"/>
    <w:rsid w:val="000C396A"/>
    <w:rsid w:val="000C3BF6"/>
    <w:rsid w:val="000C3D14"/>
    <w:rsid w:val="000C3EFA"/>
    <w:rsid w:val="000C4A66"/>
    <w:rsid w:val="000C4F2A"/>
    <w:rsid w:val="000C543B"/>
    <w:rsid w:val="000C5464"/>
    <w:rsid w:val="000C60D8"/>
    <w:rsid w:val="000C60F2"/>
    <w:rsid w:val="000C61A1"/>
    <w:rsid w:val="000C6A5B"/>
    <w:rsid w:val="000C6DD2"/>
    <w:rsid w:val="000C6EFC"/>
    <w:rsid w:val="000C709F"/>
    <w:rsid w:val="000C7935"/>
    <w:rsid w:val="000C7AF1"/>
    <w:rsid w:val="000C7B51"/>
    <w:rsid w:val="000C7DB2"/>
    <w:rsid w:val="000D05EF"/>
    <w:rsid w:val="000D083B"/>
    <w:rsid w:val="000D09CB"/>
    <w:rsid w:val="000D0A40"/>
    <w:rsid w:val="000D115A"/>
    <w:rsid w:val="000D1683"/>
    <w:rsid w:val="000D1A7F"/>
    <w:rsid w:val="000D2831"/>
    <w:rsid w:val="000D2A83"/>
    <w:rsid w:val="000D30D0"/>
    <w:rsid w:val="000D38B5"/>
    <w:rsid w:val="000D39DD"/>
    <w:rsid w:val="000D3B69"/>
    <w:rsid w:val="000D3BAA"/>
    <w:rsid w:val="000D3BF9"/>
    <w:rsid w:val="000D3D38"/>
    <w:rsid w:val="000D40DB"/>
    <w:rsid w:val="000D4627"/>
    <w:rsid w:val="000D4B3E"/>
    <w:rsid w:val="000D4D30"/>
    <w:rsid w:val="000D4EA8"/>
    <w:rsid w:val="000D5160"/>
    <w:rsid w:val="000D5485"/>
    <w:rsid w:val="000D5652"/>
    <w:rsid w:val="000D68AA"/>
    <w:rsid w:val="000D768E"/>
    <w:rsid w:val="000D7CE0"/>
    <w:rsid w:val="000E0C8C"/>
    <w:rsid w:val="000E1050"/>
    <w:rsid w:val="000E10BC"/>
    <w:rsid w:val="000E14C7"/>
    <w:rsid w:val="000E1AFB"/>
    <w:rsid w:val="000E20DB"/>
    <w:rsid w:val="000E29C5"/>
    <w:rsid w:val="000E2AAF"/>
    <w:rsid w:val="000E2B49"/>
    <w:rsid w:val="000E3A47"/>
    <w:rsid w:val="000E4939"/>
    <w:rsid w:val="000E50BE"/>
    <w:rsid w:val="000E510C"/>
    <w:rsid w:val="000E58D9"/>
    <w:rsid w:val="000E58DB"/>
    <w:rsid w:val="000E5972"/>
    <w:rsid w:val="000E6110"/>
    <w:rsid w:val="000E6261"/>
    <w:rsid w:val="000E6A00"/>
    <w:rsid w:val="000E6A1E"/>
    <w:rsid w:val="000E6CF2"/>
    <w:rsid w:val="000E7064"/>
    <w:rsid w:val="000E743D"/>
    <w:rsid w:val="000E774D"/>
    <w:rsid w:val="000E7866"/>
    <w:rsid w:val="000E7AC9"/>
    <w:rsid w:val="000E7B45"/>
    <w:rsid w:val="000E7C3D"/>
    <w:rsid w:val="000F0277"/>
    <w:rsid w:val="000F0B95"/>
    <w:rsid w:val="000F0CC7"/>
    <w:rsid w:val="000F1935"/>
    <w:rsid w:val="000F31B7"/>
    <w:rsid w:val="000F31DF"/>
    <w:rsid w:val="000F35A2"/>
    <w:rsid w:val="000F3CC8"/>
    <w:rsid w:val="000F3D7B"/>
    <w:rsid w:val="000F3FF5"/>
    <w:rsid w:val="000F4008"/>
    <w:rsid w:val="000F4B0C"/>
    <w:rsid w:val="000F574E"/>
    <w:rsid w:val="000F76BE"/>
    <w:rsid w:val="000F78E6"/>
    <w:rsid w:val="000F7DFC"/>
    <w:rsid w:val="000F7F81"/>
    <w:rsid w:val="000F7F95"/>
    <w:rsid w:val="00100A36"/>
    <w:rsid w:val="00101463"/>
    <w:rsid w:val="00101E49"/>
    <w:rsid w:val="00102004"/>
    <w:rsid w:val="001027CF"/>
    <w:rsid w:val="0010296B"/>
    <w:rsid w:val="001029F3"/>
    <w:rsid w:val="001038BE"/>
    <w:rsid w:val="00103F74"/>
    <w:rsid w:val="0010426C"/>
    <w:rsid w:val="001042A7"/>
    <w:rsid w:val="00104B8B"/>
    <w:rsid w:val="00104D86"/>
    <w:rsid w:val="001053FD"/>
    <w:rsid w:val="00106148"/>
    <w:rsid w:val="00106DCC"/>
    <w:rsid w:val="00106E96"/>
    <w:rsid w:val="00106FD4"/>
    <w:rsid w:val="001071EC"/>
    <w:rsid w:val="001107D9"/>
    <w:rsid w:val="00110D44"/>
    <w:rsid w:val="00111302"/>
    <w:rsid w:val="001119A5"/>
    <w:rsid w:val="00111E80"/>
    <w:rsid w:val="001123E5"/>
    <w:rsid w:val="0011252B"/>
    <w:rsid w:val="00112E05"/>
    <w:rsid w:val="00112F45"/>
    <w:rsid w:val="00113052"/>
    <w:rsid w:val="00113672"/>
    <w:rsid w:val="00114751"/>
    <w:rsid w:val="00114C3E"/>
    <w:rsid w:val="001153BF"/>
    <w:rsid w:val="001153CD"/>
    <w:rsid w:val="001157C8"/>
    <w:rsid w:val="00115946"/>
    <w:rsid w:val="001172B8"/>
    <w:rsid w:val="001172C8"/>
    <w:rsid w:val="0011735A"/>
    <w:rsid w:val="00117A40"/>
    <w:rsid w:val="001203A0"/>
    <w:rsid w:val="00120881"/>
    <w:rsid w:val="00120DD1"/>
    <w:rsid w:val="00121A9F"/>
    <w:rsid w:val="00122120"/>
    <w:rsid w:val="00122157"/>
    <w:rsid w:val="0012223C"/>
    <w:rsid w:val="001227AC"/>
    <w:rsid w:val="00123981"/>
    <w:rsid w:val="00123E14"/>
    <w:rsid w:val="00123FE0"/>
    <w:rsid w:val="0012446C"/>
    <w:rsid w:val="0012467C"/>
    <w:rsid w:val="001256C5"/>
    <w:rsid w:val="00126F25"/>
    <w:rsid w:val="001270C9"/>
    <w:rsid w:val="001270F1"/>
    <w:rsid w:val="0012779A"/>
    <w:rsid w:val="00127A73"/>
    <w:rsid w:val="00127D68"/>
    <w:rsid w:val="00127DDB"/>
    <w:rsid w:val="00127F85"/>
    <w:rsid w:val="001300AF"/>
    <w:rsid w:val="00130EAE"/>
    <w:rsid w:val="001312AD"/>
    <w:rsid w:val="0013160D"/>
    <w:rsid w:val="001319A2"/>
    <w:rsid w:val="00133812"/>
    <w:rsid w:val="00133C98"/>
    <w:rsid w:val="00133E25"/>
    <w:rsid w:val="001343FB"/>
    <w:rsid w:val="00134A53"/>
    <w:rsid w:val="001350AE"/>
    <w:rsid w:val="0013552D"/>
    <w:rsid w:val="00135DD3"/>
    <w:rsid w:val="00136D3D"/>
    <w:rsid w:val="001370B2"/>
    <w:rsid w:val="00137613"/>
    <w:rsid w:val="00137C7A"/>
    <w:rsid w:val="00137E0A"/>
    <w:rsid w:val="0014006D"/>
    <w:rsid w:val="00140B17"/>
    <w:rsid w:val="00141036"/>
    <w:rsid w:val="0014154D"/>
    <w:rsid w:val="0014172E"/>
    <w:rsid w:val="001417F1"/>
    <w:rsid w:val="001420DB"/>
    <w:rsid w:val="00142557"/>
    <w:rsid w:val="00142EE2"/>
    <w:rsid w:val="00143C70"/>
    <w:rsid w:val="001443C5"/>
    <w:rsid w:val="00144787"/>
    <w:rsid w:val="00144A87"/>
    <w:rsid w:val="00144C67"/>
    <w:rsid w:val="00144F45"/>
    <w:rsid w:val="001456D4"/>
    <w:rsid w:val="00145CDA"/>
    <w:rsid w:val="00146025"/>
    <w:rsid w:val="00146C74"/>
    <w:rsid w:val="0015002F"/>
    <w:rsid w:val="0015010F"/>
    <w:rsid w:val="00150256"/>
    <w:rsid w:val="001505DB"/>
    <w:rsid w:val="00150658"/>
    <w:rsid w:val="001512DC"/>
    <w:rsid w:val="00151692"/>
    <w:rsid w:val="0015289E"/>
    <w:rsid w:val="00152BCC"/>
    <w:rsid w:val="00153DF5"/>
    <w:rsid w:val="00153E78"/>
    <w:rsid w:val="00154F41"/>
    <w:rsid w:val="001550B4"/>
    <w:rsid w:val="00155F75"/>
    <w:rsid w:val="001569D4"/>
    <w:rsid w:val="00156D24"/>
    <w:rsid w:val="00156FF8"/>
    <w:rsid w:val="00157873"/>
    <w:rsid w:val="00160182"/>
    <w:rsid w:val="0016229D"/>
    <w:rsid w:val="0016263A"/>
    <w:rsid w:val="00162DE5"/>
    <w:rsid w:val="0016390A"/>
    <w:rsid w:val="0016541F"/>
    <w:rsid w:val="001659F0"/>
    <w:rsid w:val="00166B27"/>
    <w:rsid w:val="00167182"/>
    <w:rsid w:val="0017107F"/>
    <w:rsid w:val="00171BC5"/>
    <w:rsid w:val="00171D4E"/>
    <w:rsid w:val="00171EBA"/>
    <w:rsid w:val="0017213F"/>
    <w:rsid w:val="0017253E"/>
    <w:rsid w:val="00172D84"/>
    <w:rsid w:val="001734C1"/>
    <w:rsid w:val="00173D67"/>
    <w:rsid w:val="00175394"/>
    <w:rsid w:val="001754F3"/>
    <w:rsid w:val="00176428"/>
    <w:rsid w:val="00176705"/>
    <w:rsid w:val="00177123"/>
    <w:rsid w:val="0017735A"/>
    <w:rsid w:val="00177797"/>
    <w:rsid w:val="00177BA8"/>
    <w:rsid w:val="00180E55"/>
    <w:rsid w:val="00180FEF"/>
    <w:rsid w:val="001818DD"/>
    <w:rsid w:val="00181909"/>
    <w:rsid w:val="00181BA4"/>
    <w:rsid w:val="00181CAA"/>
    <w:rsid w:val="00182198"/>
    <w:rsid w:val="00182229"/>
    <w:rsid w:val="0018245E"/>
    <w:rsid w:val="00182C1A"/>
    <w:rsid w:val="0018300C"/>
    <w:rsid w:val="001833BB"/>
    <w:rsid w:val="00184088"/>
    <w:rsid w:val="001844FA"/>
    <w:rsid w:val="0018474F"/>
    <w:rsid w:val="001847F2"/>
    <w:rsid w:val="00184B64"/>
    <w:rsid w:val="001857B9"/>
    <w:rsid w:val="00185908"/>
    <w:rsid w:val="00185BE9"/>
    <w:rsid w:val="00185EB7"/>
    <w:rsid w:val="001867A8"/>
    <w:rsid w:val="001872EF"/>
    <w:rsid w:val="001875F1"/>
    <w:rsid w:val="00187D71"/>
    <w:rsid w:val="00190711"/>
    <w:rsid w:val="001907C9"/>
    <w:rsid w:val="00190866"/>
    <w:rsid w:val="00190A24"/>
    <w:rsid w:val="0019182E"/>
    <w:rsid w:val="001922E4"/>
    <w:rsid w:val="00192644"/>
    <w:rsid w:val="0019297B"/>
    <w:rsid w:val="00193281"/>
    <w:rsid w:val="0019335B"/>
    <w:rsid w:val="00193501"/>
    <w:rsid w:val="00193619"/>
    <w:rsid w:val="00193B38"/>
    <w:rsid w:val="00193F57"/>
    <w:rsid w:val="00194765"/>
    <w:rsid w:val="001948A4"/>
    <w:rsid w:val="0019566F"/>
    <w:rsid w:val="00195C6C"/>
    <w:rsid w:val="00196133"/>
    <w:rsid w:val="00196693"/>
    <w:rsid w:val="001969C8"/>
    <w:rsid w:val="00196E12"/>
    <w:rsid w:val="00197275"/>
    <w:rsid w:val="001976A5"/>
    <w:rsid w:val="00197D8A"/>
    <w:rsid w:val="001A0CB0"/>
    <w:rsid w:val="001A108E"/>
    <w:rsid w:val="001A10F5"/>
    <w:rsid w:val="001A1331"/>
    <w:rsid w:val="001A164E"/>
    <w:rsid w:val="001A16EB"/>
    <w:rsid w:val="001A1912"/>
    <w:rsid w:val="001A1C72"/>
    <w:rsid w:val="001A22D2"/>
    <w:rsid w:val="001A27ED"/>
    <w:rsid w:val="001A27F9"/>
    <w:rsid w:val="001A2895"/>
    <w:rsid w:val="001A2F49"/>
    <w:rsid w:val="001A3014"/>
    <w:rsid w:val="001A3096"/>
    <w:rsid w:val="001A36CD"/>
    <w:rsid w:val="001A3890"/>
    <w:rsid w:val="001A3C76"/>
    <w:rsid w:val="001A43CA"/>
    <w:rsid w:val="001A45D4"/>
    <w:rsid w:val="001A4958"/>
    <w:rsid w:val="001A5026"/>
    <w:rsid w:val="001A68AA"/>
    <w:rsid w:val="001A6CAF"/>
    <w:rsid w:val="001B068A"/>
    <w:rsid w:val="001B06AB"/>
    <w:rsid w:val="001B14F7"/>
    <w:rsid w:val="001B150B"/>
    <w:rsid w:val="001B1599"/>
    <w:rsid w:val="001B16E1"/>
    <w:rsid w:val="001B1A6B"/>
    <w:rsid w:val="001B1FBC"/>
    <w:rsid w:val="001B2096"/>
    <w:rsid w:val="001B2F54"/>
    <w:rsid w:val="001B3CED"/>
    <w:rsid w:val="001B481F"/>
    <w:rsid w:val="001B4989"/>
    <w:rsid w:val="001B4A5A"/>
    <w:rsid w:val="001B5777"/>
    <w:rsid w:val="001B57BA"/>
    <w:rsid w:val="001B68B1"/>
    <w:rsid w:val="001B699A"/>
    <w:rsid w:val="001B7248"/>
    <w:rsid w:val="001B7BE2"/>
    <w:rsid w:val="001B7E64"/>
    <w:rsid w:val="001B7ECA"/>
    <w:rsid w:val="001C01A1"/>
    <w:rsid w:val="001C031F"/>
    <w:rsid w:val="001C04B5"/>
    <w:rsid w:val="001C0944"/>
    <w:rsid w:val="001C1BAC"/>
    <w:rsid w:val="001C1F3A"/>
    <w:rsid w:val="001C24C5"/>
    <w:rsid w:val="001C24F3"/>
    <w:rsid w:val="001C2588"/>
    <w:rsid w:val="001C2A17"/>
    <w:rsid w:val="001C2E42"/>
    <w:rsid w:val="001C383C"/>
    <w:rsid w:val="001C3C1C"/>
    <w:rsid w:val="001C3D70"/>
    <w:rsid w:val="001C3E36"/>
    <w:rsid w:val="001C4212"/>
    <w:rsid w:val="001C4792"/>
    <w:rsid w:val="001C47A9"/>
    <w:rsid w:val="001C602E"/>
    <w:rsid w:val="001C6246"/>
    <w:rsid w:val="001C685D"/>
    <w:rsid w:val="001C6D8C"/>
    <w:rsid w:val="001C6E21"/>
    <w:rsid w:val="001C7444"/>
    <w:rsid w:val="001C78BF"/>
    <w:rsid w:val="001C78C0"/>
    <w:rsid w:val="001C7C8A"/>
    <w:rsid w:val="001C7CE9"/>
    <w:rsid w:val="001D0243"/>
    <w:rsid w:val="001D05CB"/>
    <w:rsid w:val="001D0698"/>
    <w:rsid w:val="001D198D"/>
    <w:rsid w:val="001D1C11"/>
    <w:rsid w:val="001D1DBF"/>
    <w:rsid w:val="001D2389"/>
    <w:rsid w:val="001D26E0"/>
    <w:rsid w:val="001D28D1"/>
    <w:rsid w:val="001D31CF"/>
    <w:rsid w:val="001D3CCA"/>
    <w:rsid w:val="001D4435"/>
    <w:rsid w:val="001D4655"/>
    <w:rsid w:val="001D475F"/>
    <w:rsid w:val="001D4A3E"/>
    <w:rsid w:val="001D6786"/>
    <w:rsid w:val="001D6BEB"/>
    <w:rsid w:val="001D7006"/>
    <w:rsid w:val="001D7492"/>
    <w:rsid w:val="001D7BD4"/>
    <w:rsid w:val="001D7E19"/>
    <w:rsid w:val="001E0316"/>
    <w:rsid w:val="001E12DA"/>
    <w:rsid w:val="001E16B6"/>
    <w:rsid w:val="001E177A"/>
    <w:rsid w:val="001E269B"/>
    <w:rsid w:val="001E295F"/>
    <w:rsid w:val="001E2A98"/>
    <w:rsid w:val="001E2E74"/>
    <w:rsid w:val="001E3109"/>
    <w:rsid w:val="001E3166"/>
    <w:rsid w:val="001E32E5"/>
    <w:rsid w:val="001E33EF"/>
    <w:rsid w:val="001E3761"/>
    <w:rsid w:val="001E3931"/>
    <w:rsid w:val="001E42D0"/>
    <w:rsid w:val="001E4457"/>
    <w:rsid w:val="001E4D79"/>
    <w:rsid w:val="001E4E7B"/>
    <w:rsid w:val="001E5E2D"/>
    <w:rsid w:val="001E632B"/>
    <w:rsid w:val="001E65CA"/>
    <w:rsid w:val="001E672F"/>
    <w:rsid w:val="001E679B"/>
    <w:rsid w:val="001E79EE"/>
    <w:rsid w:val="001E7C3C"/>
    <w:rsid w:val="001F03AA"/>
    <w:rsid w:val="001F0B3B"/>
    <w:rsid w:val="001F164E"/>
    <w:rsid w:val="001F1ED7"/>
    <w:rsid w:val="001F33BD"/>
    <w:rsid w:val="001F3AF8"/>
    <w:rsid w:val="001F3EC4"/>
    <w:rsid w:val="001F409A"/>
    <w:rsid w:val="001F4199"/>
    <w:rsid w:val="001F4A17"/>
    <w:rsid w:val="001F4AC4"/>
    <w:rsid w:val="001F4C0B"/>
    <w:rsid w:val="001F4D13"/>
    <w:rsid w:val="001F4DDD"/>
    <w:rsid w:val="001F589B"/>
    <w:rsid w:val="001F595E"/>
    <w:rsid w:val="001F6201"/>
    <w:rsid w:val="001F63FF"/>
    <w:rsid w:val="001F6BF3"/>
    <w:rsid w:val="001F795A"/>
    <w:rsid w:val="00200522"/>
    <w:rsid w:val="002011CF"/>
    <w:rsid w:val="00201841"/>
    <w:rsid w:val="00201BE1"/>
    <w:rsid w:val="00201BE5"/>
    <w:rsid w:val="00201DA0"/>
    <w:rsid w:val="00202293"/>
    <w:rsid w:val="00202B7B"/>
    <w:rsid w:val="00202D61"/>
    <w:rsid w:val="00203324"/>
    <w:rsid w:val="0020349E"/>
    <w:rsid w:val="002038CD"/>
    <w:rsid w:val="00203CD9"/>
    <w:rsid w:val="002047C5"/>
    <w:rsid w:val="00205CF2"/>
    <w:rsid w:val="0020639F"/>
    <w:rsid w:val="00206514"/>
    <w:rsid w:val="00206EB6"/>
    <w:rsid w:val="0020709D"/>
    <w:rsid w:val="00207338"/>
    <w:rsid w:val="002109EB"/>
    <w:rsid w:val="00210D2B"/>
    <w:rsid w:val="00211754"/>
    <w:rsid w:val="00211838"/>
    <w:rsid w:val="00211A36"/>
    <w:rsid w:val="0021214C"/>
    <w:rsid w:val="00212277"/>
    <w:rsid w:val="0021275F"/>
    <w:rsid w:val="002133A1"/>
    <w:rsid w:val="002135EF"/>
    <w:rsid w:val="00213735"/>
    <w:rsid w:val="00214358"/>
    <w:rsid w:val="0021464B"/>
    <w:rsid w:val="00214FFA"/>
    <w:rsid w:val="0021534D"/>
    <w:rsid w:val="00215541"/>
    <w:rsid w:val="0021564B"/>
    <w:rsid w:val="00215E97"/>
    <w:rsid w:val="0021603E"/>
    <w:rsid w:val="002160FD"/>
    <w:rsid w:val="0021616F"/>
    <w:rsid w:val="0021633A"/>
    <w:rsid w:val="002170F9"/>
    <w:rsid w:val="00217DEE"/>
    <w:rsid w:val="00220653"/>
    <w:rsid w:val="00220EB9"/>
    <w:rsid w:val="002216DB"/>
    <w:rsid w:val="00221A9A"/>
    <w:rsid w:val="00221C00"/>
    <w:rsid w:val="00222058"/>
    <w:rsid w:val="002220FD"/>
    <w:rsid w:val="002226FC"/>
    <w:rsid w:val="00222E3B"/>
    <w:rsid w:val="002234A4"/>
    <w:rsid w:val="002238DA"/>
    <w:rsid w:val="00223C84"/>
    <w:rsid w:val="00224E03"/>
    <w:rsid w:val="00225C6E"/>
    <w:rsid w:val="00226AEE"/>
    <w:rsid w:val="00226BBB"/>
    <w:rsid w:val="002274E5"/>
    <w:rsid w:val="0023007C"/>
    <w:rsid w:val="0023102D"/>
    <w:rsid w:val="00231074"/>
    <w:rsid w:val="0023122A"/>
    <w:rsid w:val="0023144A"/>
    <w:rsid w:val="0023177C"/>
    <w:rsid w:val="002317CC"/>
    <w:rsid w:val="0023291D"/>
    <w:rsid w:val="00233433"/>
    <w:rsid w:val="002335C2"/>
    <w:rsid w:val="00233706"/>
    <w:rsid w:val="00233A53"/>
    <w:rsid w:val="00233CFA"/>
    <w:rsid w:val="00234000"/>
    <w:rsid w:val="00234172"/>
    <w:rsid w:val="00234AF4"/>
    <w:rsid w:val="00234FF2"/>
    <w:rsid w:val="00235FDE"/>
    <w:rsid w:val="002362BF"/>
    <w:rsid w:val="002364CD"/>
    <w:rsid w:val="00236FA6"/>
    <w:rsid w:val="0023704C"/>
    <w:rsid w:val="0023721F"/>
    <w:rsid w:val="002377C1"/>
    <w:rsid w:val="00237F6F"/>
    <w:rsid w:val="00240EDD"/>
    <w:rsid w:val="00240FA9"/>
    <w:rsid w:val="00241061"/>
    <w:rsid w:val="00241632"/>
    <w:rsid w:val="00241711"/>
    <w:rsid w:val="00242036"/>
    <w:rsid w:val="002426BB"/>
    <w:rsid w:val="002427C4"/>
    <w:rsid w:val="0024288B"/>
    <w:rsid w:val="00242942"/>
    <w:rsid w:val="00242AE7"/>
    <w:rsid w:val="002434C7"/>
    <w:rsid w:val="00243639"/>
    <w:rsid w:val="0024390C"/>
    <w:rsid w:val="00243AEE"/>
    <w:rsid w:val="002448C8"/>
    <w:rsid w:val="00245BB9"/>
    <w:rsid w:val="0024601E"/>
    <w:rsid w:val="0024646B"/>
    <w:rsid w:val="002464F8"/>
    <w:rsid w:val="00247073"/>
    <w:rsid w:val="00247384"/>
    <w:rsid w:val="00247616"/>
    <w:rsid w:val="00247D71"/>
    <w:rsid w:val="00247F40"/>
    <w:rsid w:val="0025002C"/>
    <w:rsid w:val="00250C4D"/>
    <w:rsid w:val="00250D99"/>
    <w:rsid w:val="00251B6A"/>
    <w:rsid w:val="00253361"/>
    <w:rsid w:val="0025344E"/>
    <w:rsid w:val="002538EF"/>
    <w:rsid w:val="00253915"/>
    <w:rsid w:val="002553AA"/>
    <w:rsid w:val="00255FAF"/>
    <w:rsid w:val="00257011"/>
    <w:rsid w:val="00257089"/>
    <w:rsid w:val="00260673"/>
    <w:rsid w:val="00260A47"/>
    <w:rsid w:val="002611F0"/>
    <w:rsid w:val="002616D7"/>
    <w:rsid w:val="002619D5"/>
    <w:rsid w:val="00261E28"/>
    <w:rsid w:val="002625D4"/>
    <w:rsid w:val="00263434"/>
    <w:rsid w:val="00263B7F"/>
    <w:rsid w:val="00263D42"/>
    <w:rsid w:val="00263F3A"/>
    <w:rsid w:val="002650D3"/>
    <w:rsid w:val="00265393"/>
    <w:rsid w:val="00265A29"/>
    <w:rsid w:val="00265A69"/>
    <w:rsid w:val="00265C2C"/>
    <w:rsid w:val="00265E50"/>
    <w:rsid w:val="00265F87"/>
    <w:rsid w:val="002660B9"/>
    <w:rsid w:val="0026675F"/>
    <w:rsid w:val="00266F81"/>
    <w:rsid w:val="00267219"/>
    <w:rsid w:val="00267C69"/>
    <w:rsid w:val="00267EDB"/>
    <w:rsid w:val="002709EB"/>
    <w:rsid w:val="00271192"/>
    <w:rsid w:val="0027194C"/>
    <w:rsid w:val="00271CCF"/>
    <w:rsid w:val="00271FFD"/>
    <w:rsid w:val="00272BD2"/>
    <w:rsid w:val="00273348"/>
    <w:rsid w:val="00273634"/>
    <w:rsid w:val="002745B7"/>
    <w:rsid w:val="00274B29"/>
    <w:rsid w:val="00274EF4"/>
    <w:rsid w:val="0027529A"/>
    <w:rsid w:val="00275DE1"/>
    <w:rsid w:val="00275E8A"/>
    <w:rsid w:val="00275E9A"/>
    <w:rsid w:val="002760CA"/>
    <w:rsid w:val="002762A9"/>
    <w:rsid w:val="00277271"/>
    <w:rsid w:val="0027746D"/>
    <w:rsid w:val="00277615"/>
    <w:rsid w:val="002779B4"/>
    <w:rsid w:val="0028056C"/>
    <w:rsid w:val="002806A3"/>
    <w:rsid w:val="002808D3"/>
    <w:rsid w:val="00280D7E"/>
    <w:rsid w:val="00281427"/>
    <w:rsid w:val="002823BA"/>
    <w:rsid w:val="0028246C"/>
    <w:rsid w:val="00283294"/>
    <w:rsid w:val="00283350"/>
    <w:rsid w:val="002837A6"/>
    <w:rsid w:val="00283E06"/>
    <w:rsid w:val="00284508"/>
    <w:rsid w:val="00284823"/>
    <w:rsid w:val="00285272"/>
    <w:rsid w:val="002852F3"/>
    <w:rsid w:val="002855E8"/>
    <w:rsid w:val="0028573C"/>
    <w:rsid w:val="002860EA"/>
    <w:rsid w:val="002863B9"/>
    <w:rsid w:val="00287009"/>
    <w:rsid w:val="002870E8"/>
    <w:rsid w:val="00287B04"/>
    <w:rsid w:val="00290E53"/>
    <w:rsid w:val="002910AE"/>
    <w:rsid w:val="002915FB"/>
    <w:rsid w:val="00291638"/>
    <w:rsid w:val="00291819"/>
    <w:rsid w:val="00291852"/>
    <w:rsid w:val="00291AA5"/>
    <w:rsid w:val="00291B12"/>
    <w:rsid w:val="00291B4B"/>
    <w:rsid w:val="00292DB3"/>
    <w:rsid w:val="00292EB1"/>
    <w:rsid w:val="002930C1"/>
    <w:rsid w:val="002937DF"/>
    <w:rsid w:val="00293B37"/>
    <w:rsid w:val="00293BB7"/>
    <w:rsid w:val="00294352"/>
    <w:rsid w:val="0029469B"/>
    <w:rsid w:val="002946D5"/>
    <w:rsid w:val="00294E66"/>
    <w:rsid w:val="002959DD"/>
    <w:rsid w:val="002962A7"/>
    <w:rsid w:val="00296465"/>
    <w:rsid w:val="0029724E"/>
    <w:rsid w:val="0029744D"/>
    <w:rsid w:val="002A014A"/>
    <w:rsid w:val="002A0368"/>
    <w:rsid w:val="002A12B2"/>
    <w:rsid w:val="002A161D"/>
    <w:rsid w:val="002A1F0D"/>
    <w:rsid w:val="002A2951"/>
    <w:rsid w:val="002A2C82"/>
    <w:rsid w:val="002A2E8D"/>
    <w:rsid w:val="002A306B"/>
    <w:rsid w:val="002A40AB"/>
    <w:rsid w:val="002A41F5"/>
    <w:rsid w:val="002A4244"/>
    <w:rsid w:val="002A4B04"/>
    <w:rsid w:val="002A4EF2"/>
    <w:rsid w:val="002A4FE7"/>
    <w:rsid w:val="002A5423"/>
    <w:rsid w:val="002A55F1"/>
    <w:rsid w:val="002A5693"/>
    <w:rsid w:val="002A5B33"/>
    <w:rsid w:val="002A5F30"/>
    <w:rsid w:val="002A5FC0"/>
    <w:rsid w:val="002A622F"/>
    <w:rsid w:val="002A6C10"/>
    <w:rsid w:val="002A6D2C"/>
    <w:rsid w:val="002A72F2"/>
    <w:rsid w:val="002A7F93"/>
    <w:rsid w:val="002B057E"/>
    <w:rsid w:val="002B05AA"/>
    <w:rsid w:val="002B0C6C"/>
    <w:rsid w:val="002B14F3"/>
    <w:rsid w:val="002B19A9"/>
    <w:rsid w:val="002B3000"/>
    <w:rsid w:val="002B41A6"/>
    <w:rsid w:val="002B4216"/>
    <w:rsid w:val="002B4251"/>
    <w:rsid w:val="002B4999"/>
    <w:rsid w:val="002B5126"/>
    <w:rsid w:val="002B535C"/>
    <w:rsid w:val="002B62D1"/>
    <w:rsid w:val="002B6621"/>
    <w:rsid w:val="002B76FC"/>
    <w:rsid w:val="002C001E"/>
    <w:rsid w:val="002C054C"/>
    <w:rsid w:val="002C0D23"/>
    <w:rsid w:val="002C0E68"/>
    <w:rsid w:val="002C13EC"/>
    <w:rsid w:val="002C15E5"/>
    <w:rsid w:val="002C1709"/>
    <w:rsid w:val="002C197A"/>
    <w:rsid w:val="002C1C43"/>
    <w:rsid w:val="002C1D8B"/>
    <w:rsid w:val="002C2AE8"/>
    <w:rsid w:val="002C2DED"/>
    <w:rsid w:val="002C3257"/>
    <w:rsid w:val="002C3293"/>
    <w:rsid w:val="002C331F"/>
    <w:rsid w:val="002C3ABF"/>
    <w:rsid w:val="002C413A"/>
    <w:rsid w:val="002C43D4"/>
    <w:rsid w:val="002C4999"/>
    <w:rsid w:val="002C65D9"/>
    <w:rsid w:val="002C706C"/>
    <w:rsid w:val="002C747C"/>
    <w:rsid w:val="002C760D"/>
    <w:rsid w:val="002C7D7F"/>
    <w:rsid w:val="002D001A"/>
    <w:rsid w:val="002D0118"/>
    <w:rsid w:val="002D0562"/>
    <w:rsid w:val="002D1507"/>
    <w:rsid w:val="002D1633"/>
    <w:rsid w:val="002D192E"/>
    <w:rsid w:val="002D1A64"/>
    <w:rsid w:val="002D229F"/>
    <w:rsid w:val="002D2D9E"/>
    <w:rsid w:val="002D3CAD"/>
    <w:rsid w:val="002D58D7"/>
    <w:rsid w:val="002D5B38"/>
    <w:rsid w:val="002D5F3B"/>
    <w:rsid w:val="002D610D"/>
    <w:rsid w:val="002D6281"/>
    <w:rsid w:val="002D69A0"/>
    <w:rsid w:val="002D7174"/>
    <w:rsid w:val="002D7244"/>
    <w:rsid w:val="002E0726"/>
    <w:rsid w:val="002E09AE"/>
    <w:rsid w:val="002E0B91"/>
    <w:rsid w:val="002E0E76"/>
    <w:rsid w:val="002E0ECC"/>
    <w:rsid w:val="002E1518"/>
    <w:rsid w:val="002E1976"/>
    <w:rsid w:val="002E24B6"/>
    <w:rsid w:val="002E2A95"/>
    <w:rsid w:val="002E31AE"/>
    <w:rsid w:val="002E35CB"/>
    <w:rsid w:val="002E3674"/>
    <w:rsid w:val="002E37D0"/>
    <w:rsid w:val="002E37F9"/>
    <w:rsid w:val="002E4425"/>
    <w:rsid w:val="002E5126"/>
    <w:rsid w:val="002E524A"/>
    <w:rsid w:val="002E57A0"/>
    <w:rsid w:val="002E5C4F"/>
    <w:rsid w:val="002E706F"/>
    <w:rsid w:val="002E7694"/>
    <w:rsid w:val="002E7C3A"/>
    <w:rsid w:val="002F00B5"/>
    <w:rsid w:val="002F09BF"/>
    <w:rsid w:val="002F137D"/>
    <w:rsid w:val="002F13EB"/>
    <w:rsid w:val="002F1817"/>
    <w:rsid w:val="002F1AA1"/>
    <w:rsid w:val="002F1F79"/>
    <w:rsid w:val="002F20A1"/>
    <w:rsid w:val="002F23A3"/>
    <w:rsid w:val="002F25B6"/>
    <w:rsid w:val="002F32B5"/>
    <w:rsid w:val="002F3A1D"/>
    <w:rsid w:val="002F3B19"/>
    <w:rsid w:val="002F40F1"/>
    <w:rsid w:val="002F4E0A"/>
    <w:rsid w:val="002F4E0B"/>
    <w:rsid w:val="002F4E4D"/>
    <w:rsid w:val="002F5348"/>
    <w:rsid w:val="002F5712"/>
    <w:rsid w:val="002F5B3E"/>
    <w:rsid w:val="002F626E"/>
    <w:rsid w:val="002F68E7"/>
    <w:rsid w:val="002F6D37"/>
    <w:rsid w:val="002F716E"/>
    <w:rsid w:val="002F765C"/>
    <w:rsid w:val="002F798D"/>
    <w:rsid w:val="002F7A2B"/>
    <w:rsid w:val="002F7D20"/>
    <w:rsid w:val="002F7D84"/>
    <w:rsid w:val="002F7DF6"/>
    <w:rsid w:val="002F7E5F"/>
    <w:rsid w:val="003005F4"/>
    <w:rsid w:val="00300BAA"/>
    <w:rsid w:val="00300EA1"/>
    <w:rsid w:val="00301506"/>
    <w:rsid w:val="00301E53"/>
    <w:rsid w:val="003025A2"/>
    <w:rsid w:val="00302B19"/>
    <w:rsid w:val="00302EE5"/>
    <w:rsid w:val="0030305B"/>
    <w:rsid w:val="003030D7"/>
    <w:rsid w:val="003038AA"/>
    <w:rsid w:val="0030391E"/>
    <w:rsid w:val="00305D2F"/>
    <w:rsid w:val="00306383"/>
    <w:rsid w:val="00306F6D"/>
    <w:rsid w:val="0030722B"/>
    <w:rsid w:val="00307BD7"/>
    <w:rsid w:val="00307FBB"/>
    <w:rsid w:val="00310054"/>
    <w:rsid w:val="00310244"/>
    <w:rsid w:val="0031033B"/>
    <w:rsid w:val="003104D2"/>
    <w:rsid w:val="00310978"/>
    <w:rsid w:val="003110FE"/>
    <w:rsid w:val="00311823"/>
    <w:rsid w:val="00312E00"/>
    <w:rsid w:val="00313408"/>
    <w:rsid w:val="00314002"/>
    <w:rsid w:val="00314153"/>
    <w:rsid w:val="00314606"/>
    <w:rsid w:val="00315409"/>
    <w:rsid w:val="00316240"/>
    <w:rsid w:val="00316F0A"/>
    <w:rsid w:val="00317150"/>
    <w:rsid w:val="00317448"/>
    <w:rsid w:val="00317CF5"/>
    <w:rsid w:val="00320262"/>
    <w:rsid w:val="00320A62"/>
    <w:rsid w:val="00320C5E"/>
    <w:rsid w:val="00320DA3"/>
    <w:rsid w:val="003210F3"/>
    <w:rsid w:val="00322E81"/>
    <w:rsid w:val="00324A68"/>
    <w:rsid w:val="00324BA1"/>
    <w:rsid w:val="00324EF0"/>
    <w:rsid w:val="003251D0"/>
    <w:rsid w:val="003252DF"/>
    <w:rsid w:val="00325B17"/>
    <w:rsid w:val="0032628D"/>
    <w:rsid w:val="00326F2F"/>
    <w:rsid w:val="003279EC"/>
    <w:rsid w:val="00327F80"/>
    <w:rsid w:val="003305E5"/>
    <w:rsid w:val="00330E48"/>
    <w:rsid w:val="00330FDF"/>
    <w:rsid w:val="00331033"/>
    <w:rsid w:val="003311E9"/>
    <w:rsid w:val="003316A0"/>
    <w:rsid w:val="00332010"/>
    <w:rsid w:val="00332575"/>
    <w:rsid w:val="003325E6"/>
    <w:rsid w:val="0033262D"/>
    <w:rsid w:val="0033285C"/>
    <w:rsid w:val="003335F2"/>
    <w:rsid w:val="00333728"/>
    <w:rsid w:val="00333A0C"/>
    <w:rsid w:val="00333DCE"/>
    <w:rsid w:val="00333DE6"/>
    <w:rsid w:val="0033428E"/>
    <w:rsid w:val="00334D64"/>
    <w:rsid w:val="00334E94"/>
    <w:rsid w:val="00334F42"/>
    <w:rsid w:val="00334FA2"/>
    <w:rsid w:val="003353D6"/>
    <w:rsid w:val="0033593C"/>
    <w:rsid w:val="00335E07"/>
    <w:rsid w:val="00335F38"/>
    <w:rsid w:val="0033617B"/>
    <w:rsid w:val="00336414"/>
    <w:rsid w:val="00336BAB"/>
    <w:rsid w:val="00340AF4"/>
    <w:rsid w:val="00340EBC"/>
    <w:rsid w:val="00341260"/>
    <w:rsid w:val="003418AE"/>
    <w:rsid w:val="00341FF0"/>
    <w:rsid w:val="00342969"/>
    <w:rsid w:val="00342A47"/>
    <w:rsid w:val="0034327B"/>
    <w:rsid w:val="00343289"/>
    <w:rsid w:val="003435DD"/>
    <w:rsid w:val="00343807"/>
    <w:rsid w:val="00344321"/>
    <w:rsid w:val="00344353"/>
    <w:rsid w:val="00344907"/>
    <w:rsid w:val="00344C9A"/>
    <w:rsid w:val="00344D6F"/>
    <w:rsid w:val="00344F18"/>
    <w:rsid w:val="00345531"/>
    <w:rsid w:val="00345C3C"/>
    <w:rsid w:val="00346BC4"/>
    <w:rsid w:val="00346E0D"/>
    <w:rsid w:val="0035007D"/>
    <w:rsid w:val="00350086"/>
    <w:rsid w:val="00350A0A"/>
    <w:rsid w:val="00350B0E"/>
    <w:rsid w:val="00350FEA"/>
    <w:rsid w:val="00351389"/>
    <w:rsid w:val="00351BA7"/>
    <w:rsid w:val="00351C08"/>
    <w:rsid w:val="00351FE8"/>
    <w:rsid w:val="00354279"/>
    <w:rsid w:val="003542D4"/>
    <w:rsid w:val="00354312"/>
    <w:rsid w:val="00354AD0"/>
    <w:rsid w:val="00354B62"/>
    <w:rsid w:val="00354EA1"/>
    <w:rsid w:val="003559AB"/>
    <w:rsid w:val="00355C48"/>
    <w:rsid w:val="00356C88"/>
    <w:rsid w:val="00356E0D"/>
    <w:rsid w:val="00360774"/>
    <w:rsid w:val="003609C1"/>
    <w:rsid w:val="003610C5"/>
    <w:rsid w:val="00361116"/>
    <w:rsid w:val="00361322"/>
    <w:rsid w:val="003613C3"/>
    <w:rsid w:val="0036143E"/>
    <w:rsid w:val="00361820"/>
    <w:rsid w:val="00361827"/>
    <w:rsid w:val="00361F69"/>
    <w:rsid w:val="00362FDC"/>
    <w:rsid w:val="00363107"/>
    <w:rsid w:val="00363206"/>
    <w:rsid w:val="00363858"/>
    <w:rsid w:val="00363AAF"/>
    <w:rsid w:val="00363BA4"/>
    <w:rsid w:val="00363FD0"/>
    <w:rsid w:val="003658D4"/>
    <w:rsid w:val="00366184"/>
    <w:rsid w:val="00366D2B"/>
    <w:rsid w:val="00366DD9"/>
    <w:rsid w:val="00367466"/>
    <w:rsid w:val="00371670"/>
    <w:rsid w:val="00371AA5"/>
    <w:rsid w:val="0037296E"/>
    <w:rsid w:val="0037361C"/>
    <w:rsid w:val="00373826"/>
    <w:rsid w:val="00373ECF"/>
    <w:rsid w:val="00374164"/>
    <w:rsid w:val="00374ABC"/>
    <w:rsid w:val="00374DA9"/>
    <w:rsid w:val="003753EB"/>
    <w:rsid w:val="00375BBB"/>
    <w:rsid w:val="0037618B"/>
    <w:rsid w:val="00380B11"/>
    <w:rsid w:val="00380CB3"/>
    <w:rsid w:val="00381288"/>
    <w:rsid w:val="00381406"/>
    <w:rsid w:val="00381447"/>
    <w:rsid w:val="00381971"/>
    <w:rsid w:val="00381C32"/>
    <w:rsid w:val="00382D72"/>
    <w:rsid w:val="00383135"/>
    <w:rsid w:val="003841CC"/>
    <w:rsid w:val="003843D4"/>
    <w:rsid w:val="00384945"/>
    <w:rsid w:val="00385D38"/>
    <w:rsid w:val="00385FD3"/>
    <w:rsid w:val="00386857"/>
    <w:rsid w:val="003869BF"/>
    <w:rsid w:val="003876F2"/>
    <w:rsid w:val="00390C3D"/>
    <w:rsid w:val="00391974"/>
    <w:rsid w:val="003919D5"/>
    <w:rsid w:val="00391CC4"/>
    <w:rsid w:val="003928B8"/>
    <w:rsid w:val="00394466"/>
    <w:rsid w:val="003947DB"/>
    <w:rsid w:val="003963E9"/>
    <w:rsid w:val="0039669D"/>
    <w:rsid w:val="00396DB5"/>
    <w:rsid w:val="00396E86"/>
    <w:rsid w:val="0039749A"/>
    <w:rsid w:val="003975B9"/>
    <w:rsid w:val="003A05F5"/>
    <w:rsid w:val="003A0952"/>
    <w:rsid w:val="003A1062"/>
    <w:rsid w:val="003A1518"/>
    <w:rsid w:val="003A155E"/>
    <w:rsid w:val="003A212B"/>
    <w:rsid w:val="003A2712"/>
    <w:rsid w:val="003A2C09"/>
    <w:rsid w:val="003A338D"/>
    <w:rsid w:val="003A3880"/>
    <w:rsid w:val="003A399A"/>
    <w:rsid w:val="003A473D"/>
    <w:rsid w:val="003A5A2D"/>
    <w:rsid w:val="003A60CF"/>
    <w:rsid w:val="003A61E5"/>
    <w:rsid w:val="003A6908"/>
    <w:rsid w:val="003A6EC4"/>
    <w:rsid w:val="003A72AB"/>
    <w:rsid w:val="003A74BA"/>
    <w:rsid w:val="003A7917"/>
    <w:rsid w:val="003B02A3"/>
    <w:rsid w:val="003B02C5"/>
    <w:rsid w:val="003B0740"/>
    <w:rsid w:val="003B14BC"/>
    <w:rsid w:val="003B2312"/>
    <w:rsid w:val="003B23E3"/>
    <w:rsid w:val="003B263E"/>
    <w:rsid w:val="003B2F39"/>
    <w:rsid w:val="003B2F3A"/>
    <w:rsid w:val="003B3715"/>
    <w:rsid w:val="003B38BA"/>
    <w:rsid w:val="003B3AA5"/>
    <w:rsid w:val="003B3D50"/>
    <w:rsid w:val="003B58DE"/>
    <w:rsid w:val="003B59E4"/>
    <w:rsid w:val="003B5A93"/>
    <w:rsid w:val="003B6AE4"/>
    <w:rsid w:val="003B7288"/>
    <w:rsid w:val="003B72B5"/>
    <w:rsid w:val="003B7A8A"/>
    <w:rsid w:val="003C0446"/>
    <w:rsid w:val="003C06C9"/>
    <w:rsid w:val="003C0E8E"/>
    <w:rsid w:val="003C1805"/>
    <w:rsid w:val="003C264B"/>
    <w:rsid w:val="003C288E"/>
    <w:rsid w:val="003C28F1"/>
    <w:rsid w:val="003C290B"/>
    <w:rsid w:val="003C2F84"/>
    <w:rsid w:val="003C3163"/>
    <w:rsid w:val="003C31EB"/>
    <w:rsid w:val="003C341C"/>
    <w:rsid w:val="003C3843"/>
    <w:rsid w:val="003C3ED9"/>
    <w:rsid w:val="003C44A8"/>
    <w:rsid w:val="003C4A14"/>
    <w:rsid w:val="003C4A9F"/>
    <w:rsid w:val="003C5308"/>
    <w:rsid w:val="003C5620"/>
    <w:rsid w:val="003C59AB"/>
    <w:rsid w:val="003C5AA6"/>
    <w:rsid w:val="003C62BB"/>
    <w:rsid w:val="003C7007"/>
    <w:rsid w:val="003C73CA"/>
    <w:rsid w:val="003C7BBB"/>
    <w:rsid w:val="003D0545"/>
    <w:rsid w:val="003D0AA5"/>
    <w:rsid w:val="003D0D27"/>
    <w:rsid w:val="003D1A1A"/>
    <w:rsid w:val="003D1E0B"/>
    <w:rsid w:val="003D20AB"/>
    <w:rsid w:val="003D20E2"/>
    <w:rsid w:val="003D23CC"/>
    <w:rsid w:val="003D2428"/>
    <w:rsid w:val="003D246B"/>
    <w:rsid w:val="003D2912"/>
    <w:rsid w:val="003D4C36"/>
    <w:rsid w:val="003D4C50"/>
    <w:rsid w:val="003D5ACE"/>
    <w:rsid w:val="003D5CFC"/>
    <w:rsid w:val="003D6235"/>
    <w:rsid w:val="003D626C"/>
    <w:rsid w:val="003D6F54"/>
    <w:rsid w:val="003E016C"/>
    <w:rsid w:val="003E0B9A"/>
    <w:rsid w:val="003E0CA3"/>
    <w:rsid w:val="003E19D3"/>
    <w:rsid w:val="003E205A"/>
    <w:rsid w:val="003E21AB"/>
    <w:rsid w:val="003E2C3A"/>
    <w:rsid w:val="003E2CC0"/>
    <w:rsid w:val="003E2E53"/>
    <w:rsid w:val="003E3414"/>
    <w:rsid w:val="003E46C0"/>
    <w:rsid w:val="003E4A99"/>
    <w:rsid w:val="003E5179"/>
    <w:rsid w:val="003E5CA5"/>
    <w:rsid w:val="003E5CF5"/>
    <w:rsid w:val="003E5D47"/>
    <w:rsid w:val="003E6111"/>
    <w:rsid w:val="003E6770"/>
    <w:rsid w:val="003E6B23"/>
    <w:rsid w:val="003E6D0A"/>
    <w:rsid w:val="003E6D3D"/>
    <w:rsid w:val="003E706F"/>
    <w:rsid w:val="003E740A"/>
    <w:rsid w:val="003E7573"/>
    <w:rsid w:val="003F05DC"/>
    <w:rsid w:val="003F0AE7"/>
    <w:rsid w:val="003F1024"/>
    <w:rsid w:val="003F12B0"/>
    <w:rsid w:val="003F1735"/>
    <w:rsid w:val="003F1C9F"/>
    <w:rsid w:val="003F1DBC"/>
    <w:rsid w:val="003F3C86"/>
    <w:rsid w:val="003F4254"/>
    <w:rsid w:val="003F4DE4"/>
    <w:rsid w:val="003F4F5A"/>
    <w:rsid w:val="003F5862"/>
    <w:rsid w:val="003F5C25"/>
    <w:rsid w:val="003F6127"/>
    <w:rsid w:val="003F6641"/>
    <w:rsid w:val="003F7251"/>
    <w:rsid w:val="003F74C9"/>
    <w:rsid w:val="003F7CF1"/>
    <w:rsid w:val="0040015B"/>
    <w:rsid w:val="00400C49"/>
    <w:rsid w:val="00400E2F"/>
    <w:rsid w:val="00401225"/>
    <w:rsid w:val="0040144B"/>
    <w:rsid w:val="004015DC"/>
    <w:rsid w:val="00403367"/>
    <w:rsid w:val="00403F4F"/>
    <w:rsid w:val="00404107"/>
    <w:rsid w:val="0040432B"/>
    <w:rsid w:val="00404F1C"/>
    <w:rsid w:val="00404F51"/>
    <w:rsid w:val="004053E5"/>
    <w:rsid w:val="00405AE7"/>
    <w:rsid w:val="00406D14"/>
    <w:rsid w:val="004072FD"/>
    <w:rsid w:val="004073BF"/>
    <w:rsid w:val="004079AB"/>
    <w:rsid w:val="00407B27"/>
    <w:rsid w:val="00407CC9"/>
    <w:rsid w:val="00407E40"/>
    <w:rsid w:val="0041035F"/>
    <w:rsid w:val="00410A16"/>
    <w:rsid w:val="00410D22"/>
    <w:rsid w:val="00411406"/>
    <w:rsid w:val="00411F1C"/>
    <w:rsid w:val="0041200A"/>
    <w:rsid w:val="004120A4"/>
    <w:rsid w:val="004127F9"/>
    <w:rsid w:val="00412C3F"/>
    <w:rsid w:val="00413803"/>
    <w:rsid w:val="00413841"/>
    <w:rsid w:val="00414862"/>
    <w:rsid w:val="004148BE"/>
    <w:rsid w:val="00414E96"/>
    <w:rsid w:val="004150B6"/>
    <w:rsid w:val="00416D4B"/>
    <w:rsid w:val="00417097"/>
    <w:rsid w:val="004171AC"/>
    <w:rsid w:val="00417429"/>
    <w:rsid w:val="004178F9"/>
    <w:rsid w:val="00417AD5"/>
    <w:rsid w:val="004209D0"/>
    <w:rsid w:val="00420B19"/>
    <w:rsid w:val="00420D1D"/>
    <w:rsid w:val="004219B8"/>
    <w:rsid w:val="00421BAB"/>
    <w:rsid w:val="00422384"/>
    <w:rsid w:val="0042268E"/>
    <w:rsid w:val="00422BCB"/>
    <w:rsid w:val="00422DB5"/>
    <w:rsid w:val="00422EF0"/>
    <w:rsid w:val="004235EF"/>
    <w:rsid w:val="0042373A"/>
    <w:rsid w:val="00423C57"/>
    <w:rsid w:val="004240D9"/>
    <w:rsid w:val="004246EB"/>
    <w:rsid w:val="0042470B"/>
    <w:rsid w:val="00424BC8"/>
    <w:rsid w:val="00424E7F"/>
    <w:rsid w:val="00425184"/>
    <w:rsid w:val="004251C6"/>
    <w:rsid w:val="004259F3"/>
    <w:rsid w:val="004265E8"/>
    <w:rsid w:val="00426E52"/>
    <w:rsid w:val="00427F5D"/>
    <w:rsid w:val="00430063"/>
    <w:rsid w:val="00430A57"/>
    <w:rsid w:val="00430CB1"/>
    <w:rsid w:val="00431036"/>
    <w:rsid w:val="004311B1"/>
    <w:rsid w:val="00432972"/>
    <w:rsid w:val="00433181"/>
    <w:rsid w:val="004335A6"/>
    <w:rsid w:val="00433CC3"/>
    <w:rsid w:val="00433D17"/>
    <w:rsid w:val="00434B25"/>
    <w:rsid w:val="0043614B"/>
    <w:rsid w:val="004364FF"/>
    <w:rsid w:val="004379A0"/>
    <w:rsid w:val="00437F79"/>
    <w:rsid w:val="004400F4"/>
    <w:rsid w:val="00440A98"/>
    <w:rsid w:val="00440CE6"/>
    <w:rsid w:val="00440EFF"/>
    <w:rsid w:val="004410CB"/>
    <w:rsid w:val="00441A4D"/>
    <w:rsid w:val="00441ADE"/>
    <w:rsid w:val="00441B7C"/>
    <w:rsid w:val="00442028"/>
    <w:rsid w:val="0044235A"/>
    <w:rsid w:val="00442F12"/>
    <w:rsid w:val="00443EDD"/>
    <w:rsid w:val="00443F3F"/>
    <w:rsid w:val="004442AA"/>
    <w:rsid w:val="00444763"/>
    <w:rsid w:val="00444B22"/>
    <w:rsid w:val="00444CAD"/>
    <w:rsid w:val="00445041"/>
    <w:rsid w:val="0044536B"/>
    <w:rsid w:val="00445661"/>
    <w:rsid w:val="00445A49"/>
    <w:rsid w:val="00445A51"/>
    <w:rsid w:val="0044640F"/>
    <w:rsid w:val="00446F9B"/>
    <w:rsid w:val="00446FEB"/>
    <w:rsid w:val="004471DB"/>
    <w:rsid w:val="004508CC"/>
    <w:rsid w:val="00450902"/>
    <w:rsid w:val="004514F0"/>
    <w:rsid w:val="00451612"/>
    <w:rsid w:val="00451C77"/>
    <w:rsid w:val="00451CC3"/>
    <w:rsid w:val="004522A5"/>
    <w:rsid w:val="00452554"/>
    <w:rsid w:val="00452A98"/>
    <w:rsid w:val="00452AB1"/>
    <w:rsid w:val="00453035"/>
    <w:rsid w:val="004538A5"/>
    <w:rsid w:val="00454763"/>
    <w:rsid w:val="00454B1B"/>
    <w:rsid w:val="00454C78"/>
    <w:rsid w:val="004552D3"/>
    <w:rsid w:val="0045608E"/>
    <w:rsid w:val="004561F1"/>
    <w:rsid w:val="004563BB"/>
    <w:rsid w:val="0045783E"/>
    <w:rsid w:val="00457E01"/>
    <w:rsid w:val="00457F25"/>
    <w:rsid w:val="00460030"/>
    <w:rsid w:val="0046029F"/>
    <w:rsid w:val="004610D3"/>
    <w:rsid w:val="004611B3"/>
    <w:rsid w:val="00461562"/>
    <w:rsid w:val="0046206C"/>
    <w:rsid w:val="0046279D"/>
    <w:rsid w:val="00463927"/>
    <w:rsid w:val="00463CF2"/>
    <w:rsid w:val="004640CF"/>
    <w:rsid w:val="004646A8"/>
    <w:rsid w:val="00464B13"/>
    <w:rsid w:val="004655C7"/>
    <w:rsid w:val="0046570A"/>
    <w:rsid w:val="00466324"/>
    <w:rsid w:val="004664B3"/>
    <w:rsid w:val="004668F5"/>
    <w:rsid w:val="004669D8"/>
    <w:rsid w:val="004675FC"/>
    <w:rsid w:val="00467CC0"/>
    <w:rsid w:val="00467E5A"/>
    <w:rsid w:val="00467FB2"/>
    <w:rsid w:val="0047042B"/>
    <w:rsid w:val="0047066A"/>
    <w:rsid w:val="00470C8E"/>
    <w:rsid w:val="00471C1A"/>
    <w:rsid w:val="00472790"/>
    <w:rsid w:val="00472FFF"/>
    <w:rsid w:val="00473121"/>
    <w:rsid w:val="0047355B"/>
    <w:rsid w:val="00473A0E"/>
    <w:rsid w:val="00473B2D"/>
    <w:rsid w:val="00473FEB"/>
    <w:rsid w:val="00474082"/>
    <w:rsid w:val="0047454F"/>
    <w:rsid w:val="00474907"/>
    <w:rsid w:val="00474C00"/>
    <w:rsid w:val="00474D53"/>
    <w:rsid w:val="00474E80"/>
    <w:rsid w:val="00474ECE"/>
    <w:rsid w:val="00474EDC"/>
    <w:rsid w:val="0047549A"/>
    <w:rsid w:val="004757F5"/>
    <w:rsid w:val="00475940"/>
    <w:rsid w:val="00475AC8"/>
    <w:rsid w:val="00476092"/>
    <w:rsid w:val="00476118"/>
    <w:rsid w:val="00477A29"/>
    <w:rsid w:val="00477E92"/>
    <w:rsid w:val="00477F2C"/>
    <w:rsid w:val="00477F37"/>
    <w:rsid w:val="0048013D"/>
    <w:rsid w:val="00480153"/>
    <w:rsid w:val="004802DE"/>
    <w:rsid w:val="00480822"/>
    <w:rsid w:val="0048150F"/>
    <w:rsid w:val="0048181E"/>
    <w:rsid w:val="0048185A"/>
    <w:rsid w:val="004818B3"/>
    <w:rsid w:val="00482237"/>
    <w:rsid w:val="00483003"/>
    <w:rsid w:val="00483525"/>
    <w:rsid w:val="0048379D"/>
    <w:rsid w:val="00484084"/>
    <w:rsid w:val="00484176"/>
    <w:rsid w:val="004850CB"/>
    <w:rsid w:val="00485660"/>
    <w:rsid w:val="00485672"/>
    <w:rsid w:val="00485877"/>
    <w:rsid w:val="0048684F"/>
    <w:rsid w:val="00486A04"/>
    <w:rsid w:val="00487074"/>
    <w:rsid w:val="00487111"/>
    <w:rsid w:val="004878F3"/>
    <w:rsid w:val="00487B35"/>
    <w:rsid w:val="00487E57"/>
    <w:rsid w:val="00487F3A"/>
    <w:rsid w:val="004904D2"/>
    <w:rsid w:val="00490598"/>
    <w:rsid w:val="0049096C"/>
    <w:rsid w:val="00491E7D"/>
    <w:rsid w:val="004923DD"/>
    <w:rsid w:val="004925A0"/>
    <w:rsid w:val="004929BA"/>
    <w:rsid w:val="00492D66"/>
    <w:rsid w:val="00492ECE"/>
    <w:rsid w:val="0049323B"/>
    <w:rsid w:val="004935CC"/>
    <w:rsid w:val="004936CA"/>
    <w:rsid w:val="004938A1"/>
    <w:rsid w:val="00493BBE"/>
    <w:rsid w:val="00493F8A"/>
    <w:rsid w:val="004944DB"/>
    <w:rsid w:val="0049450B"/>
    <w:rsid w:val="00494D51"/>
    <w:rsid w:val="0049579A"/>
    <w:rsid w:val="004957A6"/>
    <w:rsid w:val="00495BD7"/>
    <w:rsid w:val="00495C10"/>
    <w:rsid w:val="00495D57"/>
    <w:rsid w:val="00495EEB"/>
    <w:rsid w:val="00496018"/>
    <w:rsid w:val="0049627D"/>
    <w:rsid w:val="004964DE"/>
    <w:rsid w:val="00496A54"/>
    <w:rsid w:val="00496B3A"/>
    <w:rsid w:val="00496EA1"/>
    <w:rsid w:val="004970CA"/>
    <w:rsid w:val="004977D5"/>
    <w:rsid w:val="00497838"/>
    <w:rsid w:val="004979C4"/>
    <w:rsid w:val="00497DE0"/>
    <w:rsid w:val="00497E62"/>
    <w:rsid w:val="004A0C9C"/>
    <w:rsid w:val="004A0DE4"/>
    <w:rsid w:val="004A11B1"/>
    <w:rsid w:val="004A1501"/>
    <w:rsid w:val="004A1628"/>
    <w:rsid w:val="004A1666"/>
    <w:rsid w:val="004A1B7D"/>
    <w:rsid w:val="004A1E69"/>
    <w:rsid w:val="004A2C0C"/>
    <w:rsid w:val="004A2C6E"/>
    <w:rsid w:val="004A365D"/>
    <w:rsid w:val="004A47D9"/>
    <w:rsid w:val="004A4D84"/>
    <w:rsid w:val="004A4E55"/>
    <w:rsid w:val="004A511F"/>
    <w:rsid w:val="004A5441"/>
    <w:rsid w:val="004A5AEB"/>
    <w:rsid w:val="004A5E68"/>
    <w:rsid w:val="004A64E8"/>
    <w:rsid w:val="004A6549"/>
    <w:rsid w:val="004A7206"/>
    <w:rsid w:val="004A73C6"/>
    <w:rsid w:val="004A7827"/>
    <w:rsid w:val="004A79B0"/>
    <w:rsid w:val="004A7E2D"/>
    <w:rsid w:val="004A7F0D"/>
    <w:rsid w:val="004B0070"/>
    <w:rsid w:val="004B0294"/>
    <w:rsid w:val="004B0629"/>
    <w:rsid w:val="004B0670"/>
    <w:rsid w:val="004B0F7C"/>
    <w:rsid w:val="004B133F"/>
    <w:rsid w:val="004B1D93"/>
    <w:rsid w:val="004B3492"/>
    <w:rsid w:val="004B3645"/>
    <w:rsid w:val="004B3F14"/>
    <w:rsid w:val="004B4621"/>
    <w:rsid w:val="004B4767"/>
    <w:rsid w:val="004B47D1"/>
    <w:rsid w:val="004B4915"/>
    <w:rsid w:val="004B50D8"/>
    <w:rsid w:val="004B60C2"/>
    <w:rsid w:val="004B6171"/>
    <w:rsid w:val="004B708C"/>
    <w:rsid w:val="004B72F0"/>
    <w:rsid w:val="004B78DA"/>
    <w:rsid w:val="004B7C37"/>
    <w:rsid w:val="004C0778"/>
    <w:rsid w:val="004C1280"/>
    <w:rsid w:val="004C129A"/>
    <w:rsid w:val="004C2E23"/>
    <w:rsid w:val="004C2FEE"/>
    <w:rsid w:val="004C3031"/>
    <w:rsid w:val="004C42C2"/>
    <w:rsid w:val="004C45C7"/>
    <w:rsid w:val="004C471E"/>
    <w:rsid w:val="004C4ABB"/>
    <w:rsid w:val="004C5575"/>
    <w:rsid w:val="004C5E21"/>
    <w:rsid w:val="004C76B9"/>
    <w:rsid w:val="004C798D"/>
    <w:rsid w:val="004D0012"/>
    <w:rsid w:val="004D00E3"/>
    <w:rsid w:val="004D1007"/>
    <w:rsid w:val="004D1F3C"/>
    <w:rsid w:val="004D3D43"/>
    <w:rsid w:val="004D3D7C"/>
    <w:rsid w:val="004D3E0E"/>
    <w:rsid w:val="004D5A1F"/>
    <w:rsid w:val="004D61DC"/>
    <w:rsid w:val="004D6302"/>
    <w:rsid w:val="004D67AF"/>
    <w:rsid w:val="004D680B"/>
    <w:rsid w:val="004D6E01"/>
    <w:rsid w:val="004D774C"/>
    <w:rsid w:val="004D7792"/>
    <w:rsid w:val="004D77A1"/>
    <w:rsid w:val="004D7890"/>
    <w:rsid w:val="004D78FC"/>
    <w:rsid w:val="004D7DE9"/>
    <w:rsid w:val="004D7E03"/>
    <w:rsid w:val="004E12E7"/>
    <w:rsid w:val="004E132F"/>
    <w:rsid w:val="004E1A25"/>
    <w:rsid w:val="004E21A0"/>
    <w:rsid w:val="004E2273"/>
    <w:rsid w:val="004E2609"/>
    <w:rsid w:val="004E2823"/>
    <w:rsid w:val="004E2951"/>
    <w:rsid w:val="004E2A05"/>
    <w:rsid w:val="004E33B5"/>
    <w:rsid w:val="004E3E87"/>
    <w:rsid w:val="004E3EE2"/>
    <w:rsid w:val="004E4324"/>
    <w:rsid w:val="004E4907"/>
    <w:rsid w:val="004E5226"/>
    <w:rsid w:val="004E531B"/>
    <w:rsid w:val="004E5404"/>
    <w:rsid w:val="004E60FD"/>
    <w:rsid w:val="004E66C6"/>
    <w:rsid w:val="004E6A08"/>
    <w:rsid w:val="004E6F8C"/>
    <w:rsid w:val="004F02B4"/>
    <w:rsid w:val="004F1E04"/>
    <w:rsid w:val="004F1E18"/>
    <w:rsid w:val="004F2B7E"/>
    <w:rsid w:val="004F348A"/>
    <w:rsid w:val="004F39B7"/>
    <w:rsid w:val="004F483E"/>
    <w:rsid w:val="004F509D"/>
    <w:rsid w:val="004F55E2"/>
    <w:rsid w:val="004F57BA"/>
    <w:rsid w:val="004F58A0"/>
    <w:rsid w:val="004F624C"/>
    <w:rsid w:val="004F6ABE"/>
    <w:rsid w:val="004F6B5A"/>
    <w:rsid w:val="004F7575"/>
    <w:rsid w:val="0050001E"/>
    <w:rsid w:val="00500132"/>
    <w:rsid w:val="00500160"/>
    <w:rsid w:val="005017CB"/>
    <w:rsid w:val="00501A6F"/>
    <w:rsid w:val="00501EAF"/>
    <w:rsid w:val="00502FEC"/>
    <w:rsid w:val="00503151"/>
    <w:rsid w:val="005033DC"/>
    <w:rsid w:val="0050380A"/>
    <w:rsid w:val="00504320"/>
    <w:rsid w:val="005044D7"/>
    <w:rsid w:val="0050501F"/>
    <w:rsid w:val="00505733"/>
    <w:rsid w:val="00505EF3"/>
    <w:rsid w:val="0050666D"/>
    <w:rsid w:val="005074C2"/>
    <w:rsid w:val="005075A8"/>
    <w:rsid w:val="00510B7A"/>
    <w:rsid w:val="0051143E"/>
    <w:rsid w:val="00511EDE"/>
    <w:rsid w:val="0051286D"/>
    <w:rsid w:val="00513537"/>
    <w:rsid w:val="00513C98"/>
    <w:rsid w:val="00514244"/>
    <w:rsid w:val="00514D4B"/>
    <w:rsid w:val="005152CE"/>
    <w:rsid w:val="00515533"/>
    <w:rsid w:val="005155D4"/>
    <w:rsid w:val="00515649"/>
    <w:rsid w:val="00515EC0"/>
    <w:rsid w:val="0051696E"/>
    <w:rsid w:val="00516F66"/>
    <w:rsid w:val="00516F99"/>
    <w:rsid w:val="005172EF"/>
    <w:rsid w:val="00517741"/>
    <w:rsid w:val="00517D0F"/>
    <w:rsid w:val="005202E8"/>
    <w:rsid w:val="005206E2"/>
    <w:rsid w:val="00520A66"/>
    <w:rsid w:val="00520F25"/>
    <w:rsid w:val="00521834"/>
    <w:rsid w:val="00521B1F"/>
    <w:rsid w:val="0052267F"/>
    <w:rsid w:val="0052306B"/>
    <w:rsid w:val="00524669"/>
    <w:rsid w:val="00525C40"/>
    <w:rsid w:val="00525CDA"/>
    <w:rsid w:val="00526796"/>
    <w:rsid w:val="00526B4B"/>
    <w:rsid w:val="00526CC9"/>
    <w:rsid w:val="0052758D"/>
    <w:rsid w:val="005278E4"/>
    <w:rsid w:val="00527A9D"/>
    <w:rsid w:val="0053056C"/>
    <w:rsid w:val="005308D0"/>
    <w:rsid w:val="005315B1"/>
    <w:rsid w:val="00531989"/>
    <w:rsid w:val="00531CA2"/>
    <w:rsid w:val="00531CB3"/>
    <w:rsid w:val="005328EF"/>
    <w:rsid w:val="00532C24"/>
    <w:rsid w:val="00532EE0"/>
    <w:rsid w:val="00533992"/>
    <w:rsid w:val="00533B6F"/>
    <w:rsid w:val="00534511"/>
    <w:rsid w:val="005346F8"/>
    <w:rsid w:val="0053562C"/>
    <w:rsid w:val="0053565B"/>
    <w:rsid w:val="005378FA"/>
    <w:rsid w:val="00537992"/>
    <w:rsid w:val="00540CA2"/>
    <w:rsid w:val="00541C90"/>
    <w:rsid w:val="00541FA7"/>
    <w:rsid w:val="00542305"/>
    <w:rsid w:val="005423ED"/>
    <w:rsid w:val="00542E2C"/>
    <w:rsid w:val="00543051"/>
    <w:rsid w:val="0054346A"/>
    <w:rsid w:val="0054436C"/>
    <w:rsid w:val="00544543"/>
    <w:rsid w:val="005455E5"/>
    <w:rsid w:val="00545E8C"/>
    <w:rsid w:val="00546186"/>
    <w:rsid w:val="0054621E"/>
    <w:rsid w:val="00546D9F"/>
    <w:rsid w:val="00546E47"/>
    <w:rsid w:val="00546E5E"/>
    <w:rsid w:val="0054705A"/>
    <w:rsid w:val="00547FBA"/>
    <w:rsid w:val="00547FDA"/>
    <w:rsid w:val="00550272"/>
    <w:rsid w:val="005509D7"/>
    <w:rsid w:val="0055104B"/>
    <w:rsid w:val="00551406"/>
    <w:rsid w:val="005514CE"/>
    <w:rsid w:val="00551594"/>
    <w:rsid w:val="00552036"/>
    <w:rsid w:val="00552231"/>
    <w:rsid w:val="005522A8"/>
    <w:rsid w:val="00552636"/>
    <w:rsid w:val="00552FEB"/>
    <w:rsid w:val="00553A74"/>
    <w:rsid w:val="00553B09"/>
    <w:rsid w:val="00553C80"/>
    <w:rsid w:val="00554568"/>
    <w:rsid w:val="00555470"/>
    <w:rsid w:val="005554AD"/>
    <w:rsid w:val="005567BA"/>
    <w:rsid w:val="00556D95"/>
    <w:rsid w:val="00556DCF"/>
    <w:rsid w:val="005571B7"/>
    <w:rsid w:val="00557457"/>
    <w:rsid w:val="0055769B"/>
    <w:rsid w:val="00557866"/>
    <w:rsid w:val="00557C21"/>
    <w:rsid w:val="00560664"/>
    <w:rsid w:val="005610A0"/>
    <w:rsid w:val="00561821"/>
    <w:rsid w:val="00561BB9"/>
    <w:rsid w:val="00562068"/>
    <w:rsid w:val="00562286"/>
    <w:rsid w:val="005629F2"/>
    <w:rsid w:val="00562B49"/>
    <w:rsid w:val="00562E0D"/>
    <w:rsid w:val="00562E28"/>
    <w:rsid w:val="0056386E"/>
    <w:rsid w:val="00563DF5"/>
    <w:rsid w:val="005643E9"/>
    <w:rsid w:val="00564580"/>
    <w:rsid w:val="00564E53"/>
    <w:rsid w:val="00565BE8"/>
    <w:rsid w:val="00565F4D"/>
    <w:rsid w:val="00566039"/>
    <w:rsid w:val="005665A9"/>
    <w:rsid w:val="005676CC"/>
    <w:rsid w:val="005679B1"/>
    <w:rsid w:val="005700B7"/>
    <w:rsid w:val="0057027D"/>
    <w:rsid w:val="005717CD"/>
    <w:rsid w:val="00571BA2"/>
    <w:rsid w:val="00571F07"/>
    <w:rsid w:val="005731D9"/>
    <w:rsid w:val="00573BC8"/>
    <w:rsid w:val="00574AFC"/>
    <w:rsid w:val="00575223"/>
    <w:rsid w:val="00575B89"/>
    <w:rsid w:val="005760BE"/>
    <w:rsid w:val="005763A7"/>
    <w:rsid w:val="005763EA"/>
    <w:rsid w:val="0057663B"/>
    <w:rsid w:val="00576777"/>
    <w:rsid w:val="00576CE5"/>
    <w:rsid w:val="005772D5"/>
    <w:rsid w:val="0057757A"/>
    <w:rsid w:val="0057762F"/>
    <w:rsid w:val="005776A3"/>
    <w:rsid w:val="0058079E"/>
    <w:rsid w:val="005808C8"/>
    <w:rsid w:val="00580CE6"/>
    <w:rsid w:val="00580E00"/>
    <w:rsid w:val="0058112C"/>
    <w:rsid w:val="00581154"/>
    <w:rsid w:val="00581ACA"/>
    <w:rsid w:val="00581C14"/>
    <w:rsid w:val="00581E5E"/>
    <w:rsid w:val="005826AD"/>
    <w:rsid w:val="00582848"/>
    <w:rsid w:val="00582B3B"/>
    <w:rsid w:val="00582D36"/>
    <w:rsid w:val="00582E1D"/>
    <w:rsid w:val="0058362E"/>
    <w:rsid w:val="0058366B"/>
    <w:rsid w:val="0058452B"/>
    <w:rsid w:val="00584941"/>
    <w:rsid w:val="00584ADB"/>
    <w:rsid w:val="00584BD6"/>
    <w:rsid w:val="0058523F"/>
    <w:rsid w:val="00585DD3"/>
    <w:rsid w:val="00586DC6"/>
    <w:rsid w:val="00586F93"/>
    <w:rsid w:val="005874DC"/>
    <w:rsid w:val="00587FE0"/>
    <w:rsid w:val="00590017"/>
    <w:rsid w:val="005919F5"/>
    <w:rsid w:val="00591D97"/>
    <w:rsid w:val="0059297D"/>
    <w:rsid w:val="00592EAE"/>
    <w:rsid w:val="0059398E"/>
    <w:rsid w:val="00593A43"/>
    <w:rsid w:val="00593E76"/>
    <w:rsid w:val="00594A5A"/>
    <w:rsid w:val="00594AAB"/>
    <w:rsid w:val="00594E03"/>
    <w:rsid w:val="00594E38"/>
    <w:rsid w:val="0059516F"/>
    <w:rsid w:val="005955F9"/>
    <w:rsid w:val="00595612"/>
    <w:rsid w:val="00595B2C"/>
    <w:rsid w:val="00596346"/>
    <w:rsid w:val="00596C46"/>
    <w:rsid w:val="005977AC"/>
    <w:rsid w:val="005A09FB"/>
    <w:rsid w:val="005A0BEB"/>
    <w:rsid w:val="005A12A4"/>
    <w:rsid w:val="005A1FD4"/>
    <w:rsid w:val="005A215A"/>
    <w:rsid w:val="005A25C9"/>
    <w:rsid w:val="005A26DD"/>
    <w:rsid w:val="005A2B39"/>
    <w:rsid w:val="005A2E50"/>
    <w:rsid w:val="005A3442"/>
    <w:rsid w:val="005A3563"/>
    <w:rsid w:val="005A3D85"/>
    <w:rsid w:val="005A4A0E"/>
    <w:rsid w:val="005A50BA"/>
    <w:rsid w:val="005A5494"/>
    <w:rsid w:val="005A5899"/>
    <w:rsid w:val="005A5BC5"/>
    <w:rsid w:val="005A5CE6"/>
    <w:rsid w:val="005A6A20"/>
    <w:rsid w:val="005A6BCD"/>
    <w:rsid w:val="005A710D"/>
    <w:rsid w:val="005A71BC"/>
    <w:rsid w:val="005A753F"/>
    <w:rsid w:val="005B02CE"/>
    <w:rsid w:val="005B0314"/>
    <w:rsid w:val="005B0872"/>
    <w:rsid w:val="005B0F92"/>
    <w:rsid w:val="005B16C8"/>
    <w:rsid w:val="005B2BA0"/>
    <w:rsid w:val="005B31F6"/>
    <w:rsid w:val="005B3275"/>
    <w:rsid w:val="005B3A93"/>
    <w:rsid w:val="005B4B6F"/>
    <w:rsid w:val="005B4BE4"/>
    <w:rsid w:val="005B4E44"/>
    <w:rsid w:val="005B51CB"/>
    <w:rsid w:val="005B5A8C"/>
    <w:rsid w:val="005B5F38"/>
    <w:rsid w:val="005B6309"/>
    <w:rsid w:val="005B6B52"/>
    <w:rsid w:val="005B7896"/>
    <w:rsid w:val="005B79C2"/>
    <w:rsid w:val="005C0CDF"/>
    <w:rsid w:val="005C0F0D"/>
    <w:rsid w:val="005C1303"/>
    <w:rsid w:val="005C1771"/>
    <w:rsid w:val="005C1CC7"/>
    <w:rsid w:val="005C1CC9"/>
    <w:rsid w:val="005C2286"/>
    <w:rsid w:val="005C29D6"/>
    <w:rsid w:val="005C2E70"/>
    <w:rsid w:val="005C4AC8"/>
    <w:rsid w:val="005C4ACD"/>
    <w:rsid w:val="005C5113"/>
    <w:rsid w:val="005C53FB"/>
    <w:rsid w:val="005C58DE"/>
    <w:rsid w:val="005C5A99"/>
    <w:rsid w:val="005C5CAA"/>
    <w:rsid w:val="005C68A2"/>
    <w:rsid w:val="005C6AAB"/>
    <w:rsid w:val="005C716B"/>
    <w:rsid w:val="005C718D"/>
    <w:rsid w:val="005C72AF"/>
    <w:rsid w:val="005C7655"/>
    <w:rsid w:val="005C7AEE"/>
    <w:rsid w:val="005D01D6"/>
    <w:rsid w:val="005D0704"/>
    <w:rsid w:val="005D09B5"/>
    <w:rsid w:val="005D1397"/>
    <w:rsid w:val="005D164D"/>
    <w:rsid w:val="005D175E"/>
    <w:rsid w:val="005D1AB8"/>
    <w:rsid w:val="005D200D"/>
    <w:rsid w:val="005D2169"/>
    <w:rsid w:val="005D2560"/>
    <w:rsid w:val="005D3527"/>
    <w:rsid w:val="005D35F9"/>
    <w:rsid w:val="005D3698"/>
    <w:rsid w:val="005D456E"/>
    <w:rsid w:val="005D4DEE"/>
    <w:rsid w:val="005D5095"/>
    <w:rsid w:val="005D528C"/>
    <w:rsid w:val="005D5618"/>
    <w:rsid w:val="005D5786"/>
    <w:rsid w:val="005D5788"/>
    <w:rsid w:val="005D5829"/>
    <w:rsid w:val="005D5FD1"/>
    <w:rsid w:val="005D64BF"/>
    <w:rsid w:val="005D6588"/>
    <w:rsid w:val="005D69CA"/>
    <w:rsid w:val="005D7B7D"/>
    <w:rsid w:val="005E0558"/>
    <w:rsid w:val="005E0773"/>
    <w:rsid w:val="005E149A"/>
    <w:rsid w:val="005E20EC"/>
    <w:rsid w:val="005E2CFB"/>
    <w:rsid w:val="005E2E6F"/>
    <w:rsid w:val="005E30BF"/>
    <w:rsid w:val="005E4665"/>
    <w:rsid w:val="005E4CF5"/>
    <w:rsid w:val="005E4F10"/>
    <w:rsid w:val="005E51F2"/>
    <w:rsid w:val="005E5E89"/>
    <w:rsid w:val="005E6610"/>
    <w:rsid w:val="005E71A0"/>
    <w:rsid w:val="005E795F"/>
    <w:rsid w:val="005E79FD"/>
    <w:rsid w:val="005F0FF6"/>
    <w:rsid w:val="005F109D"/>
    <w:rsid w:val="005F11EB"/>
    <w:rsid w:val="005F146A"/>
    <w:rsid w:val="005F1783"/>
    <w:rsid w:val="005F1C77"/>
    <w:rsid w:val="005F27C8"/>
    <w:rsid w:val="005F2EF6"/>
    <w:rsid w:val="005F30D1"/>
    <w:rsid w:val="005F337A"/>
    <w:rsid w:val="005F3794"/>
    <w:rsid w:val="005F3F6C"/>
    <w:rsid w:val="005F4A84"/>
    <w:rsid w:val="005F4F55"/>
    <w:rsid w:val="005F51D8"/>
    <w:rsid w:val="005F5FE9"/>
    <w:rsid w:val="005F6749"/>
    <w:rsid w:val="005F75CB"/>
    <w:rsid w:val="005F7A4B"/>
    <w:rsid w:val="005F7D01"/>
    <w:rsid w:val="0060068F"/>
    <w:rsid w:val="0060072B"/>
    <w:rsid w:val="00600987"/>
    <w:rsid w:val="00600C1F"/>
    <w:rsid w:val="00601BC3"/>
    <w:rsid w:val="00602EEF"/>
    <w:rsid w:val="00603016"/>
    <w:rsid w:val="006032ED"/>
    <w:rsid w:val="0060371E"/>
    <w:rsid w:val="00603A0B"/>
    <w:rsid w:val="00605497"/>
    <w:rsid w:val="006055C2"/>
    <w:rsid w:val="00606771"/>
    <w:rsid w:val="00606D3F"/>
    <w:rsid w:val="0060758F"/>
    <w:rsid w:val="006078D2"/>
    <w:rsid w:val="0060794A"/>
    <w:rsid w:val="00607A5C"/>
    <w:rsid w:val="00607C12"/>
    <w:rsid w:val="00607C6E"/>
    <w:rsid w:val="006101E1"/>
    <w:rsid w:val="00610DE8"/>
    <w:rsid w:val="006110D3"/>
    <w:rsid w:val="00611184"/>
    <w:rsid w:val="006116EC"/>
    <w:rsid w:val="00612E11"/>
    <w:rsid w:val="006132AC"/>
    <w:rsid w:val="00613427"/>
    <w:rsid w:val="006136D7"/>
    <w:rsid w:val="00613E7C"/>
    <w:rsid w:val="00614E8A"/>
    <w:rsid w:val="0061551E"/>
    <w:rsid w:val="00615E4C"/>
    <w:rsid w:val="00615EE2"/>
    <w:rsid w:val="00616A42"/>
    <w:rsid w:val="00616B75"/>
    <w:rsid w:val="00617E00"/>
    <w:rsid w:val="006203C8"/>
    <w:rsid w:val="00620F0D"/>
    <w:rsid w:val="006211A7"/>
    <w:rsid w:val="006211E4"/>
    <w:rsid w:val="0062141D"/>
    <w:rsid w:val="00621584"/>
    <w:rsid w:val="00622131"/>
    <w:rsid w:val="00622447"/>
    <w:rsid w:val="00622708"/>
    <w:rsid w:val="006229C1"/>
    <w:rsid w:val="00623169"/>
    <w:rsid w:val="00623743"/>
    <w:rsid w:val="00623CB9"/>
    <w:rsid w:val="00623E06"/>
    <w:rsid w:val="00624606"/>
    <w:rsid w:val="00624AD8"/>
    <w:rsid w:val="00624FB1"/>
    <w:rsid w:val="00625AC5"/>
    <w:rsid w:val="006260C0"/>
    <w:rsid w:val="00627056"/>
    <w:rsid w:val="00627793"/>
    <w:rsid w:val="00627DA1"/>
    <w:rsid w:val="00627E10"/>
    <w:rsid w:val="0063035B"/>
    <w:rsid w:val="006304FF"/>
    <w:rsid w:val="00631303"/>
    <w:rsid w:val="0063196F"/>
    <w:rsid w:val="00631EB7"/>
    <w:rsid w:val="00633268"/>
    <w:rsid w:val="00633441"/>
    <w:rsid w:val="006335E7"/>
    <w:rsid w:val="006337A5"/>
    <w:rsid w:val="00634155"/>
    <w:rsid w:val="00634288"/>
    <w:rsid w:val="00634DB8"/>
    <w:rsid w:val="006358A7"/>
    <w:rsid w:val="00635C24"/>
    <w:rsid w:val="006369A8"/>
    <w:rsid w:val="00636ADE"/>
    <w:rsid w:val="00637136"/>
    <w:rsid w:val="00637A7E"/>
    <w:rsid w:val="00637BA5"/>
    <w:rsid w:val="00637C3D"/>
    <w:rsid w:val="00637EF5"/>
    <w:rsid w:val="00637F40"/>
    <w:rsid w:val="0064119E"/>
    <w:rsid w:val="00641523"/>
    <w:rsid w:val="006415DE"/>
    <w:rsid w:val="00643103"/>
    <w:rsid w:val="00644519"/>
    <w:rsid w:val="00644D8E"/>
    <w:rsid w:val="00645077"/>
    <w:rsid w:val="006456A0"/>
    <w:rsid w:val="00645AE5"/>
    <w:rsid w:val="00645AFB"/>
    <w:rsid w:val="00646C65"/>
    <w:rsid w:val="00646E32"/>
    <w:rsid w:val="006470D2"/>
    <w:rsid w:val="006471DE"/>
    <w:rsid w:val="006474BD"/>
    <w:rsid w:val="006479FF"/>
    <w:rsid w:val="0064B872"/>
    <w:rsid w:val="00650EC8"/>
    <w:rsid w:val="006522AD"/>
    <w:rsid w:val="0065259A"/>
    <w:rsid w:val="00652829"/>
    <w:rsid w:val="00652BCD"/>
    <w:rsid w:val="00652D39"/>
    <w:rsid w:val="00652EC1"/>
    <w:rsid w:val="006536CE"/>
    <w:rsid w:val="00653FAE"/>
    <w:rsid w:val="0065439D"/>
    <w:rsid w:val="006544E0"/>
    <w:rsid w:val="00654960"/>
    <w:rsid w:val="00654E44"/>
    <w:rsid w:val="0065501A"/>
    <w:rsid w:val="006553AA"/>
    <w:rsid w:val="00655F4A"/>
    <w:rsid w:val="006570D0"/>
    <w:rsid w:val="006571E5"/>
    <w:rsid w:val="0065780B"/>
    <w:rsid w:val="0065790E"/>
    <w:rsid w:val="00657A5E"/>
    <w:rsid w:val="00657BEC"/>
    <w:rsid w:val="006608EC"/>
    <w:rsid w:val="00660B32"/>
    <w:rsid w:val="00661FA6"/>
    <w:rsid w:val="00662046"/>
    <w:rsid w:val="0066287A"/>
    <w:rsid w:val="006633F4"/>
    <w:rsid w:val="00663DD9"/>
    <w:rsid w:val="00664849"/>
    <w:rsid w:val="00664FBE"/>
    <w:rsid w:val="006653AE"/>
    <w:rsid w:val="006653F8"/>
    <w:rsid w:val="006659A0"/>
    <w:rsid w:val="00666218"/>
    <w:rsid w:val="00666845"/>
    <w:rsid w:val="00666942"/>
    <w:rsid w:val="00666D2A"/>
    <w:rsid w:val="00671494"/>
    <w:rsid w:val="0067192E"/>
    <w:rsid w:val="00671C29"/>
    <w:rsid w:val="00672471"/>
    <w:rsid w:val="00672D79"/>
    <w:rsid w:val="00673719"/>
    <w:rsid w:val="00673B30"/>
    <w:rsid w:val="00673F46"/>
    <w:rsid w:val="00674524"/>
    <w:rsid w:val="0067454F"/>
    <w:rsid w:val="00674AFB"/>
    <w:rsid w:val="00674CF9"/>
    <w:rsid w:val="006759B0"/>
    <w:rsid w:val="00676422"/>
    <w:rsid w:val="006769AF"/>
    <w:rsid w:val="006771FD"/>
    <w:rsid w:val="00677E2D"/>
    <w:rsid w:val="00681086"/>
    <w:rsid w:val="00681237"/>
    <w:rsid w:val="00681DF1"/>
    <w:rsid w:val="00682942"/>
    <w:rsid w:val="00682E53"/>
    <w:rsid w:val="006834FA"/>
    <w:rsid w:val="0068385E"/>
    <w:rsid w:val="0068416F"/>
    <w:rsid w:val="00684919"/>
    <w:rsid w:val="00684A6B"/>
    <w:rsid w:val="006855BB"/>
    <w:rsid w:val="00686302"/>
    <w:rsid w:val="00686A57"/>
    <w:rsid w:val="00686A60"/>
    <w:rsid w:val="00687148"/>
    <w:rsid w:val="0069001E"/>
    <w:rsid w:val="00691115"/>
    <w:rsid w:val="0069116A"/>
    <w:rsid w:val="00691CEC"/>
    <w:rsid w:val="00691D78"/>
    <w:rsid w:val="0069243F"/>
    <w:rsid w:val="006924AC"/>
    <w:rsid w:val="006928ED"/>
    <w:rsid w:val="00693259"/>
    <w:rsid w:val="00693494"/>
    <w:rsid w:val="00693495"/>
    <w:rsid w:val="006935D5"/>
    <w:rsid w:val="00693904"/>
    <w:rsid w:val="00693921"/>
    <w:rsid w:val="00693F58"/>
    <w:rsid w:val="00694C09"/>
    <w:rsid w:val="006950A1"/>
    <w:rsid w:val="006950DE"/>
    <w:rsid w:val="0069573A"/>
    <w:rsid w:val="006961D4"/>
    <w:rsid w:val="00696378"/>
    <w:rsid w:val="00696746"/>
    <w:rsid w:val="00696D09"/>
    <w:rsid w:val="006973AD"/>
    <w:rsid w:val="006974C7"/>
    <w:rsid w:val="00697B32"/>
    <w:rsid w:val="006A0372"/>
    <w:rsid w:val="006A0443"/>
    <w:rsid w:val="006A0934"/>
    <w:rsid w:val="006A0B71"/>
    <w:rsid w:val="006A117B"/>
    <w:rsid w:val="006A386C"/>
    <w:rsid w:val="006A3A1E"/>
    <w:rsid w:val="006A3E2E"/>
    <w:rsid w:val="006A4245"/>
    <w:rsid w:val="006A42D8"/>
    <w:rsid w:val="006A53B2"/>
    <w:rsid w:val="006A58DA"/>
    <w:rsid w:val="006A5AE4"/>
    <w:rsid w:val="006A6695"/>
    <w:rsid w:val="006A7195"/>
    <w:rsid w:val="006A7E9D"/>
    <w:rsid w:val="006A7F26"/>
    <w:rsid w:val="006A7FED"/>
    <w:rsid w:val="006B01FC"/>
    <w:rsid w:val="006B0730"/>
    <w:rsid w:val="006B0B30"/>
    <w:rsid w:val="006B0D94"/>
    <w:rsid w:val="006B0DA7"/>
    <w:rsid w:val="006B0DCC"/>
    <w:rsid w:val="006B0F18"/>
    <w:rsid w:val="006B121F"/>
    <w:rsid w:val="006B1E5E"/>
    <w:rsid w:val="006B27C5"/>
    <w:rsid w:val="006B3F40"/>
    <w:rsid w:val="006B409D"/>
    <w:rsid w:val="006B49C6"/>
    <w:rsid w:val="006B4AE7"/>
    <w:rsid w:val="006B51ED"/>
    <w:rsid w:val="006B603F"/>
    <w:rsid w:val="006B638F"/>
    <w:rsid w:val="006B6F00"/>
    <w:rsid w:val="006C0A34"/>
    <w:rsid w:val="006C1327"/>
    <w:rsid w:val="006C13E3"/>
    <w:rsid w:val="006C222E"/>
    <w:rsid w:val="006C2B65"/>
    <w:rsid w:val="006C2B8C"/>
    <w:rsid w:val="006C2F9F"/>
    <w:rsid w:val="006C31E5"/>
    <w:rsid w:val="006C3CE5"/>
    <w:rsid w:val="006C4186"/>
    <w:rsid w:val="006C469E"/>
    <w:rsid w:val="006C4B6E"/>
    <w:rsid w:val="006C4F0D"/>
    <w:rsid w:val="006C4FF3"/>
    <w:rsid w:val="006C54EA"/>
    <w:rsid w:val="006C5693"/>
    <w:rsid w:val="006C6F26"/>
    <w:rsid w:val="006C7949"/>
    <w:rsid w:val="006C7E7F"/>
    <w:rsid w:val="006CA29C"/>
    <w:rsid w:val="006D036F"/>
    <w:rsid w:val="006D08CD"/>
    <w:rsid w:val="006D0E85"/>
    <w:rsid w:val="006D10DC"/>
    <w:rsid w:val="006D17F4"/>
    <w:rsid w:val="006D18E8"/>
    <w:rsid w:val="006D1EAA"/>
    <w:rsid w:val="006D1F1B"/>
    <w:rsid w:val="006D2239"/>
    <w:rsid w:val="006D232F"/>
    <w:rsid w:val="006D24F4"/>
    <w:rsid w:val="006D2EB5"/>
    <w:rsid w:val="006D3C80"/>
    <w:rsid w:val="006D42CA"/>
    <w:rsid w:val="006D4B7C"/>
    <w:rsid w:val="006D4F0B"/>
    <w:rsid w:val="006D52C6"/>
    <w:rsid w:val="006D542F"/>
    <w:rsid w:val="006D5B62"/>
    <w:rsid w:val="006D5E0D"/>
    <w:rsid w:val="006D68C6"/>
    <w:rsid w:val="006D7FF5"/>
    <w:rsid w:val="006E0226"/>
    <w:rsid w:val="006E031B"/>
    <w:rsid w:val="006E03C8"/>
    <w:rsid w:val="006E08F6"/>
    <w:rsid w:val="006E149F"/>
    <w:rsid w:val="006E1754"/>
    <w:rsid w:val="006E186D"/>
    <w:rsid w:val="006E28CE"/>
    <w:rsid w:val="006E3DFF"/>
    <w:rsid w:val="006E4969"/>
    <w:rsid w:val="006E5416"/>
    <w:rsid w:val="006E7FA4"/>
    <w:rsid w:val="006F026F"/>
    <w:rsid w:val="006F04A4"/>
    <w:rsid w:val="006F06C9"/>
    <w:rsid w:val="006F08CB"/>
    <w:rsid w:val="006F093F"/>
    <w:rsid w:val="006F0B34"/>
    <w:rsid w:val="006F155E"/>
    <w:rsid w:val="006F1862"/>
    <w:rsid w:val="006F2841"/>
    <w:rsid w:val="006F2FB7"/>
    <w:rsid w:val="006F3002"/>
    <w:rsid w:val="006F30FC"/>
    <w:rsid w:val="006F32BC"/>
    <w:rsid w:val="006F32C0"/>
    <w:rsid w:val="006F3644"/>
    <w:rsid w:val="006F3A63"/>
    <w:rsid w:val="006F4642"/>
    <w:rsid w:val="006F4728"/>
    <w:rsid w:val="006F47BC"/>
    <w:rsid w:val="006F5AEB"/>
    <w:rsid w:val="006F5BB8"/>
    <w:rsid w:val="006F62FB"/>
    <w:rsid w:val="006F63E2"/>
    <w:rsid w:val="006F6793"/>
    <w:rsid w:val="006F67E4"/>
    <w:rsid w:val="006F6AC9"/>
    <w:rsid w:val="006F6C0E"/>
    <w:rsid w:val="006F6C65"/>
    <w:rsid w:val="006F77B8"/>
    <w:rsid w:val="0070141B"/>
    <w:rsid w:val="007014F7"/>
    <w:rsid w:val="007037E4"/>
    <w:rsid w:val="00703A4B"/>
    <w:rsid w:val="00703F67"/>
    <w:rsid w:val="00704592"/>
    <w:rsid w:val="00704D6B"/>
    <w:rsid w:val="00705935"/>
    <w:rsid w:val="007064D1"/>
    <w:rsid w:val="0071053F"/>
    <w:rsid w:val="00710611"/>
    <w:rsid w:val="007117C0"/>
    <w:rsid w:val="007126D4"/>
    <w:rsid w:val="00712880"/>
    <w:rsid w:val="007131D2"/>
    <w:rsid w:val="0071320C"/>
    <w:rsid w:val="007135FB"/>
    <w:rsid w:val="0071362D"/>
    <w:rsid w:val="0071400B"/>
    <w:rsid w:val="0071467D"/>
    <w:rsid w:val="0071481C"/>
    <w:rsid w:val="0071489F"/>
    <w:rsid w:val="00715244"/>
    <w:rsid w:val="00715F1A"/>
    <w:rsid w:val="00716647"/>
    <w:rsid w:val="0071677A"/>
    <w:rsid w:val="00717A98"/>
    <w:rsid w:val="00717CA0"/>
    <w:rsid w:val="00717CE8"/>
    <w:rsid w:val="0071DA7F"/>
    <w:rsid w:val="00720243"/>
    <w:rsid w:val="00720C9E"/>
    <w:rsid w:val="00720E58"/>
    <w:rsid w:val="007218D1"/>
    <w:rsid w:val="00721EDC"/>
    <w:rsid w:val="007220A3"/>
    <w:rsid w:val="00722F48"/>
    <w:rsid w:val="00723001"/>
    <w:rsid w:val="00723F04"/>
    <w:rsid w:val="00724709"/>
    <w:rsid w:val="0072561C"/>
    <w:rsid w:val="007265B9"/>
    <w:rsid w:val="00726FD7"/>
    <w:rsid w:val="00727F73"/>
    <w:rsid w:val="00730A41"/>
    <w:rsid w:val="0073135E"/>
    <w:rsid w:val="00731E80"/>
    <w:rsid w:val="00732197"/>
    <w:rsid w:val="00733C13"/>
    <w:rsid w:val="00734CAE"/>
    <w:rsid w:val="0073563D"/>
    <w:rsid w:val="0073577A"/>
    <w:rsid w:val="0073589F"/>
    <w:rsid w:val="00735EB0"/>
    <w:rsid w:val="00737102"/>
    <w:rsid w:val="007374A8"/>
    <w:rsid w:val="007379CC"/>
    <w:rsid w:val="00737D11"/>
    <w:rsid w:val="0074020F"/>
    <w:rsid w:val="00740966"/>
    <w:rsid w:val="00740DE8"/>
    <w:rsid w:val="00740F97"/>
    <w:rsid w:val="0074112E"/>
    <w:rsid w:val="007411BE"/>
    <w:rsid w:val="007413E6"/>
    <w:rsid w:val="007416FB"/>
    <w:rsid w:val="00741E6F"/>
    <w:rsid w:val="00742107"/>
    <w:rsid w:val="007421BE"/>
    <w:rsid w:val="007427B9"/>
    <w:rsid w:val="00742F49"/>
    <w:rsid w:val="007432FC"/>
    <w:rsid w:val="00743A01"/>
    <w:rsid w:val="00743F8B"/>
    <w:rsid w:val="007441DB"/>
    <w:rsid w:val="0074428E"/>
    <w:rsid w:val="007443AF"/>
    <w:rsid w:val="0074442E"/>
    <w:rsid w:val="007445E6"/>
    <w:rsid w:val="00745118"/>
    <w:rsid w:val="00745A4D"/>
    <w:rsid w:val="00746149"/>
    <w:rsid w:val="00746B3B"/>
    <w:rsid w:val="00747EFB"/>
    <w:rsid w:val="00747F6C"/>
    <w:rsid w:val="00750209"/>
    <w:rsid w:val="0075082A"/>
    <w:rsid w:val="00751A97"/>
    <w:rsid w:val="00751B6A"/>
    <w:rsid w:val="00751C67"/>
    <w:rsid w:val="00752A80"/>
    <w:rsid w:val="007538F0"/>
    <w:rsid w:val="00753EF1"/>
    <w:rsid w:val="007541EF"/>
    <w:rsid w:val="007548F0"/>
    <w:rsid w:val="00754B0F"/>
    <w:rsid w:val="00754ED9"/>
    <w:rsid w:val="0075586A"/>
    <w:rsid w:val="007558FC"/>
    <w:rsid w:val="00755E96"/>
    <w:rsid w:val="00756D75"/>
    <w:rsid w:val="00756E5B"/>
    <w:rsid w:val="00757764"/>
    <w:rsid w:val="00757875"/>
    <w:rsid w:val="00760120"/>
    <w:rsid w:val="007605EB"/>
    <w:rsid w:val="00760728"/>
    <w:rsid w:val="00760E09"/>
    <w:rsid w:val="0076102E"/>
    <w:rsid w:val="0076124E"/>
    <w:rsid w:val="00762EBA"/>
    <w:rsid w:val="007635BA"/>
    <w:rsid w:val="00763658"/>
    <w:rsid w:val="00763B8B"/>
    <w:rsid w:val="007642D9"/>
    <w:rsid w:val="00764B63"/>
    <w:rsid w:val="00764C5E"/>
    <w:rsid w:val="00765466"/>
    <w:rsid w:val="00765494"/>
    <w:rsid w:val="00765763"/>
    <w:rsid w:val="00766297"/>
    <w:rsid w:val="0076668B"/>
    <w:rsid w:val="00766C19"/>
    <w:rsid w:val="00766C5C"/>
    <w:rsid w:val="00766D84"/>
    <w:rsid w:val="0077009A"/>
    <w:rsid w:val="007705F7"/>
    <w:rsid w:val="00770ABD"/>
    <w:rsid w:val="00771579"/>
    <w:rsid w:val="00772238"/>
    <w:rsid w:val="0077236F"/>
    <w:rsid w:val="00772590"/>
    <w:rsid w:val="00772ECB"/>
    <w:rsid w:val="007734AA"/>
    <w:rsid w:val="0077351B"/>
    <w:rsid w:val="00773D0D"/>
    <w:rsid w:val="007747F2"/>
    <w:rsid w:val="00774A06"/>
    <w:rsid w:val="00774B12"/>
    <w:rsid w:val="007752B9"/>
    <w:rsid w:val="007756B2"/>
    <w:rsid w:val="00775DD1"/>
    <w:rsid w:val="00775F5F"/>
    <w:rsid w:val="0077670F"/>
    <w:rsid w:val="00776ED8"/>
    <w:rsid w:val="007770CA"/>
    <w:rsid w:val="00777112"/>
    <w:rsid w:val="0077726D"/>
    <w:rsid w:val="007772A1"/>
    <w:rsid w:val="0077772C"/>
    <w:rsid w:val="00777CA8"/>
    <w:rsid w:val="007805AC"/>
    <w:rsid w:val="007808B2"/>
    <w:rsid w:val="007808D5"/>
    <w:rsid w:val="00780D66"/>
    <w:rsid w:val="00781126"/>
    <w:rsid w:val="007813D5"/>
    <w:rsid w:val="00781DB2"/>
    <w:rsid w:val="007823D5"/>
    <w:rsid w:val="00782511"/>
    <w:rsid w:val="00782D26"/>
    <w:rsid w:val="00782F1B"/>
    <w:rsid w:val="0078334D"/>
    <w:rsid w:val="00783E4D"/>
    <w:rsid w:val="00784C28"/>
    <w:rsid w:val="00785132"/>
    <w:rsid w:val="007854AC"/>
    <w:rsid w:val="007856CB"/>
    <w:rsid w:val="007859D3"/>
    <w:rsid w:val="00785DED"/>
    <w:rsid w:val="00786A74"/>
    <w:rsid w:val="00786B1C"/>
    <w:rsid w:val="00786CE7"/>
    <w:rsid w:val="0078766C"/>
    <w:rsid w:val="00787CED"/>
    <w:rsid w:val="00787DD8"/>
    <w:rsid w:val="00787FAA"/>
    <w:rsid w:val="007904E0"/>
    <w:rsid w:val="00792618"/>
    <w:rsid w:val="007928DE"/>
    <w:rsid w:val="00792B87"/>
    <w:rsid w:val="00792D2C"/>
    <w:rsid w:val="00793357"/>
    <w:rsid w:val="00793495"/>
    <w:rsid w:val="0079350E"/>
    <w:rsid w:val="00793976"/>
    <w:rsid w:val="00793F36"/>
    <w:rsid w:val="0079418A"/>
    <w:rsid w:val="007941A5"/>
    <w:rsid w:val="00794A08"/>
    <w:rsid w:val="00794B44"/>
    <w:rsid w:val="00794DF0"/>
    <w:rsid w:val="007959DE"/>
    <w:rsid w:val="00795B1D"/>
    <w:rsid w:val="00796361"/>
    <w:rsid w:val="00796BC9"/>
    <w:rsid w:val="00797114"/>
    <w:rsid w:val="007971B3"/>
    <w:rsid w:val="00797DAC"/>
    <w:rsid w:val="007A0C26"/>
    <w:rsid w:val="007A0DE2"/>
    <w:rsid w:val="007A17B9"/>
    <w:rsid w:val="007A1D4D"/>
    <w:rsid w:val="007A2B1C"/>
    <w:rsid w:val="007A31F2"/>
    <w:rsid w:val="007A3314"/>
    <w:rsid w:val="007A34A9"/>
    <w:rsid w:val="007A3C6C"/>
    <w:rsid w:val="007A3EAA"/>
    <w:rsid w:val="007A3F2D"/>
    <w:rsid w:val="007A4F1C"/>
    <w:rsid w:val="007A56E4"/>
    <w:rsid w:val="007A5DBC"/>
    <w:rsid w:val="007A749D"/>
    <w:rsid w:val="007A7803"/>
    <w:rsid w:val="007A7BD4"/>
    <w:rsid w:val="007A7DC8"/>
    <w:rsid w:val="007A7EC2"/>
    <w:rsid w:val="007B1476"/>
    <w:rsid w:val="007B1F60"/>
    <w:rsid w:val="007B22DE"/>
    <w:rsid w:val="007B282E"/>
    <w:rsid w:val="007B2AFB"/>
    <w:rsid w:val="007B2F32"/>
    <w:rsid w:val="007B3105"/>
    <w:rsid w:val="007B3CA7"/>
    <w:rsid w:val="007B3FE6"/>
    <w:rsid w:val="007B4689"/>
    <w:rsid w:val="007B51FC"/>
    <w:rsid w:val="007B58B7"/>
    <w:rsid w:val="007B595E"/>
    <w:rsid w:val="007B62FF"/>
    <w:rsid w:val="007B65FE"/>
    <w:rsid w:val="007B71B5"/>
    <w:rsid w:val="007B7917"/>
    <w:rsid w:val="007C029F"/>
    <w:rsid w:val="007C06CA"/>
    <w:rsid w:val="007C0DC6"/>
    <w:rsid w:val="007C113B"/>
    <w:rsid w:val="007C14F6"/>
    <w:rsid w:val="007C1CBD"/>
    <w:rsid w:val="007C27E2"/>
    <w:rsid w:val="007C2895"/>
    <w:rsid w:val="007C2922"/>
    <w:rsid w:val="007C2EAA"/>
    <w:rsid w:val="007C2F5F"/>
    <w:rsid w:val="007C31AD"/>
    <w:rsid w:val="007C3764"/>
    <w:rsid w:val="007C3924"/>
    <w:rsid w:val="007C39F8"/>
    <w:rsid w:val="007C41F9"/>
    <w:rsid w:val="007C4EBD"/>
    <w:rsid w:val="007C505C"/>
    <w:rsid w:val="007C5410"/>
    <w:rsid w:val="007C5DFB"/>
    <w:rsid w:val="007C5ECE"/>
    <w:rsid w:val="007C6B41"/>
    <w:rsid w:val="007D00AC"/>
    <w:rsid w:val="007D00EA"/>
    <w:rsid w:val="007D02FB"/>
    <w:rsid w:val="007D0798"/>
    <w:rsid w:val="007D0AA0"/>
    <w:rsid w:val="007D18B7"/>
    <w:rsid w:val="007D2106"/>
    <w:rsid w:val="007D30AA"/>
    <w:rsid w:val="007D3872"/>
    <w:rsid w:val="007D3BF0"/>
    <w:rsid w:val="007D5356"/>
    <w:rsid w:val="007D540C"/>
    <w:rsid w:val="007D54FC"/>
    <w:rsid w:val="007D576C"/>
    <w:rsid w:val="007D57CC"/>
    <w:rsid w:val="007D59D9"/>
    <w:rsid w:val="007D5DC4"/>
    <w:rsid w:val="007D6192"/>
    <w:rsid w:val="007D663C"/>
    <w:rsid w:val="007D6938"/>
    <w:rsid w:val="007D73EB"/>
    <w:rsid w:val="007D78F3"/>
    <w:rsid w:val="007D7CDB"/>
    <w:rsid w:val="007E06AF"/>
    <w:rsid w:val="007E09DE"/>
    <w:rsid w:val="007E0B57"/>
    <w:rsid w:val="007E0CE2"/>
    <w:rsid w:val="007E1630"/>
    <w:rsid w:val="007E34BD"/>
    <w:rsid w:val="007E3711"/>
    <w:rsid w:val="007E3DDD"/>
    <w:rsid w:val="007E3E9C"/>
    <w:rsid w:val="007E4843"/>
    <w:rsid w:val="007E54D6"/>
    <w:rsid w:val="007E5C0A"/>
    <w:rsid w:val="007E5E35"/>
    <w:rsid w:val="007E5EA7"/>
    <w:rsid w:val="007E6473"/>
    <w:rsid w:val="007E6844"/>
    <w:rsid w:val="007E6F45"/>
    <w:rsid w:val="007E722B"/>
    <w:rsid w:val="007E7747"/>
    <w:rsid w:val="007E78A6"/>
    <w:rsid w:val="007E7E03"/>
    <w:rsid w:val="007F0A54"/>
    <w:rsid w:val="007F0A69"/>
    <w:rsid w:val="007F0CFC"/>
    <w:rsid w:val="007F0E96"/>
    <w:rsid w:val="007F104A"/>
    <w:rsid w:val="007F2CCF"/>
    <w:rsid w:val="007F2EC3"/>
    <w:rsid w:val="007F36B8"/>
    <w:rsid w:val="007F3A33"/>
    <w:rsid w:val="007F3FB3"/>
    <w:rsid w:val="007F43FD"/>
    <w:rsid w:val="007F4E1F"/>
    <w:rsid w:val="007F66FE"/>
    <w:rsid w:val="007F674A"/>
    <w:rsid w:val="007F675E"/>
    <w:rsid w:val="007F6908"/>
    <w:rsid w:val="007F6B75"/>
    <w:rsid w:val="007F795F"/>
    <w:rsid w:val="007F7E14"/>
    <w:rsid w:val="007F7E26"/>
    <w:rsid w:val="00800060"/>
    <w:rsid w:val="00800C79"/>
    <w:rsid w:val="00800D69"/>
    <w:rsid w:val="00800E58"/>
    <w:rsid w:val="008011CF"/>
    <w:rsid w:val="00801247"/>
    <w:rsid w:val="0080183D"/>
    <w:rsid w:val="0080196C"/>
    <w:rsid w:val="00801A07"/>
    <w:rsid w:val="00801A89"/>
    <w:rsid w:val="00801DFC"/>
    <w:rsid w:val="008037A2"/>
    <w:rsid w:val="00803FF0"/>
    <w:rsid w:val="008046C5"/>
    <w:rsid w:val="00805DF9"/>
    <w:rsid w:val="00806896"/>
    <w:rsid w:val="00806927"/>
    <w:rsid w:val="008069AC"/>
    <w:rsid w:val="00810031"/>
    <w:rsid w:val="00810BD0"/>
    <w:rsid w:val="00810CC7"/>
    <w:rsid w:val="00811288"/>
    <w:rsid w:val="008113AC"/>
    <w:rsid w:val="00812751"/>
    <w:rsid w:val="00812811"/>
    <w:rsid w:val="00813C15"/>
    <w:rsid w:val="00814796"/>
    <w:rsid w:val="008148CA"/>
    <w:rsid w:val="0081590E"/>
    <w:rsid w:val="008160F5"/>
    <w:rsid w:val="00816AA7"/>
    <w:rsid w:val="00817450"/>
    <w:rsid w:val="008177FC"/>
    <w:rsid w:val="008208B0"/>
    <w:rsid w:val="00820A8A"/>
    <w:rsid w:val="00820E25"/>
    <w:rsid w:val="00820FED"/>
    <w:rsid w:val="00821208"/>
    <w:rsid w:val="008223E2"/>
    <w:rsid w:val="00822441"/>
    <w:rsid w:val="0082254D"/>
    <w:rsid w:val="00823F05"/>
    <w:rsid w:val="008245FD"/>
    <w:rsid w:val="00824939"/>
    <w:rsid w:val="00824C37"/>
    <w:rsid w:val="008250B3"/>
    <w:rsid w:val="00825289"/>
    <w:rsid w:val="008257EC"/>
    <w:rsid w:val="00825BBF"/>
    <w:rsid w:val="00825DED"/>
    <w:rsid w:val="00825FD3"/>
    <w:rsid w:val="008263F4"/>
    <w:rsid w:val="0082647F"/>
    <w:rsid w:val="00826941"/>
    <w:rsid w:val="0082695A"/>
    <w:rsid w:val="00826A60"/>
    <w:rsid w:val="00827620"/>
    <w:rsid w:val="00827B18"/>
    <w:rsid w:val="00827BA5"/>
    <w:rsid w:val="00830126"/>
    <w:rsid w:val="00831012"/>
    <w:rsid w:val="0083128F"/>
    <w:rsid w:val="00831345"/>
    <w:rsid w:val="008319B5"/>
    <w:rsid w:val="00831DD3"/>
    <w:rsid w:val="0083244B"/>
    <w:rsid w:val="0083246E"/>
    <w:rsid w:val="00832C65"/>
    <w:rsid w:val="008331FE"/>
    <w:rsid w:val="00833693"/>
    <w:rsid w:val="00833EC5"/>
    <w:rsid w:val="008348CB"/>
    <w:rsid w:val="008353FD"/>
    <w:rsid w:val="008355BE"/>
    <w:rsid w:val="00835BCF"/>
    <w:rsid w:val="0083625F"/>
    <w:rsid w:val="0083669F"/>
    <w:rsid w:val="00836A13"/>
    <w:rsid w:val="00836CA8"/>
    <w:rsid w:val="00836EE4"/>
    <w:rsid w:val="00837A2C"/>
    <w:rsid w:val="00837A49"/>
    <w:rsid w:val="00837A50"/>
    <w:rsid w:val="00840F37"/>
    <w:rsid w:val="00840F63"/>
    <w:rsid w:val="0084138E"/>
    <w:rsid w:val="00841866"/>
    <w:rsid w:val="0084253E"/>
    <w:rsid w:val="00842DF1"/>
    <w:rsid w:val="00843441"/>
    <w:rsid w:val="008440A8"/>
    <w:rsid w:val="008445FF"/>
    <w:rsid w:val="00844B80"/>
    <w:rsid w:val="00844B96"/>
    <w:rsid w:val="00844C19"/>
    <w:rsid w:val="00845284"/>
    <w:rsid w:val="00845948"/>
    <w:rsid w:val="00845D5E"/>
    <w:rsid w:val="00845E5B"/>
    <w:rsid w:val="0084651D"/>
    <w:rsid w:val="0084653A"/>
    <w:rsid w:val="00846A0A"/>
    <w:rsid w:val="00847C07"/>
    <w:rsid w:val="00847E62"/>
    <w:rsid w:val="00850A57"/>
    <w:rsid w:val="0085105D"/>
    <w:rsid w:val="008510FC"/>
    <w:rsid w:val="00852401"/>
    <w:rsid w:val="00852432"/>
    <w:rsid w:val="008524A6"/>
    <w:rsid w:val="00852667"/>
    <w:rsid w:val="00852A6E"/>
    <w:rsid w:val="00852A72"/>
    <w:rsid w:val="00852CFC"/>
    <w:rsid w:val="00852E54"/>
    <w:rsid w:val="008534F3"/>
    <w:rsid w:val="00854CD5"/>
    <w:rsid w:val="00854E31"/>
    <w:rsid w:val="0085520F"/>
    <w:rsid w:val="008554D1"/>
    <w:rsid w:val="00855859"/>
    <w:rsid w:val="0085597B"/>
    <w:rsid w:val="00856352"/>
    <w:rsid w:val="00856693"/>
    <w:rsid w:val="0085674D"/>
    <w:rsid w:val="0085690B"/>
    <w:rsid w:val="00856A34"/>
    <w:rsid w:val="008600A4"/>
    <w:rsid w:val="008600E2"/>
    <w:rsid w:val="008604F5"/>
    <w:rsid w:val="00861849"/>
    <w:rsid w:val="00861C17"/>
    <w:rsid w:val="00861DDD"/>
    <w:rsid w:val="00861FB4"/>
    <w:rsid w:val="00862C32"/>
    <w:rsid w:val="00862FC7"/>
    <w:rsid w:val="00863657"/>
    <w:rsid w:val="008638D3"/>
    <w:rsid w:val="00863B7C"/>
    <w:rsid w:val="00863E08"/>
    <w:rsid w:val="00864099"/>
    <w:rsid w:val="008640DE"/>
    <w:rsid w:val="008641A6"/>
    <w:rsid w:val="0086437E"/>
    <w:rsid w:val="008645B0"/>
    <w:rsid w:val="00864779"/>
    <w:rsid w:val="00864B3D"/>
    <w:rsid w:val="00864B51"/>
    <w:rsid w:val="00864B71"/>
    <w:rsid w:val="00865E87"/>
    <w:rsid w:val="00866342"/>
    <w:rsid w:val="0086640C"/>
    <w:rsid w:val="008666D4"/>
    <w:rsid w:val="008668A8"/>
    <w:rsid w:val="00866C65"/>
    <w:rsid w:val="00866C83"/>
    <w:rsid w:val="008672FB"/>
    <w:rsid w:val="008674D9"/>
    <w:rsid w:val="00867948"/>
    <w:rsid w:val="00867ADC"/>
    <w:rsid w:val="00870633"/>
    <w:rsid w:val="00870A85"/>
    <w:rsid w:val="00871F9C"/>
    <w:rsid w:val="008723A9"/>
    <w:rsid w:val="00872EA1"/>
    <w:rsid w:val="00873439"/>
    <w:rsid w:val="0087344F"/>
    <w:rsid w:val="00874DEC"/>
    <w:rsid w:val="0087559C"/>
    <w:rsid w:val="00875D74"/>
    <w:rsid w:val="0087619A"/>
    <w:rsid w:val="008761D9"/>
    <w:rsid w:val="00876F48"/>
    <w:rsid w:val="00877841"/>
    <w:rsid w:val="00877B05"/>
    <w:rsid w:val="00877F3D"/>
    <w:rsid w:val="0088002E"/>
    <w:rsid w:val="008805AF"/>
    <w:rsid w:val="008807B2"/>
    <w:rsid w:val="00880BE8"/>
    <w:rsid w:val="0088191A"/>
    <w:rsid w:val="00881CC9"/>
    <w:rsid w:val="00882AB7"/>
    <w:rsid w:val="00883B3F"/>
    <w:rsid w:val="008846D6"/>
    <w:rsid w:val="00886169"/>
    <w:rsid w:val="0088635A"/>
    <w:rsid w:val="008864D5"/>
    <w:rsid w:val="0088656E"/>
    <w:rsid w:val="00886AD2"/>
    <w:rsid w:val="00886DDB"/>
    <w:rsid w:val="00887087"/>
    <w:rsid w:val="00887781"/>
    <w:rsid w:val="00887BE0"/>
    <w:rsid w:val="00887DF7"/>
    <w:rsid w:val="00887F52"/>
    <w:rsid w:val="00890BEF"/>
    <w:rsid w:val="00890C07"/>
    <w:rsid w:val="00890F68"/>
    <w:rsid w:val="00891605"/>
    <w:rsid w:val="00891F52"/>
    <w:rsid w:val="008922CB"/>
    <w:rsid w:val="0089260B"/>
    <w:rsid w:val="00892BAA"/>
    <w:rsid w:val="008932CA"/>
    <w:rsid w:val="008937BE"/>
    <w:rsid w:val="00893891"/>
    <w:rsid w:val="0089389E"/>
    <w:rsid w:val="00893CC3"/>
    <w:rsid w:val="00894056"/>
    <w:rsid w:val="008941A1"/>
    <w:rsid w:val="00894449"/>
    <w:rsid w:val="0089555C"/>
    <w:rsid w:val="00895700"/>
    <w:rsid w:val="008958EC"/>
    <w:rsid w:val="0089621D"/>
    <w:rsid w:val="00896782"/>
    <w:rsid w:val="008968B3"/>
    <w:rsid w:val="00897121"/>
    <w:rsid w:val="00897468"/>
    <w:rsid w:val="00897B9A"/>
    <w:rsid w:val="008A025F"/>
    <w:rsid w:val="008A0454"/>
    <w:rsid w:val="008A0630"/>
    <w:rsid w:val="008A0653"/>
    <w:rsid w:val="008A0867"/>
    <w:rsid w:val="008A186C"/>
    <w:rsid w:val="008A1CEA"/>
    <w:rsid w:val="008A1D80"/>
    <w:rsid w:val="008A263B"/>
    <w:rsid w:val="008A2D5D"/>
    <w:rsid w:val="008A2FF2"/>
    <w:rsid w:val="008A34C7"/>
    <w:rsid w:val="008A3768"/>
    <w:rsid w:val="008A38CD"/>
    <w:rsid w:val="008A3D74"/>
    <w:rsid w:val="008A3E70"/>
    <w:rsid w:val="008A3F3C"/>
    <w:rsid w:val="008A4031"/>
    <w:rsid w:val="008A4123"/>
    <w:rsid w:val="008A459F"/>
    <w:rsid w:val="008A4DAD"/>
    <w:rsid w:val="008A567E"/>
    <w:rsid w:val="008A56D5"/>
    <w:rsid w:val="008A57D4"/>
    <w:rsid w:val="008A59C7"/>
    <w:rsid w:val="008A697D"/>
    <w:rsid w:val="008A771D"/>
    <w:rsid w:val="008B03BF"/>
    <w:rsid w:val="008B0599"/>
    <w:rsid w:val="008B07C9"/>
    <w:rsid w:val="008B08A4"/>
    <w:rsid w:val="008B0C4A"/>
    <w:rsid w:val="008B1259"/>
    <w:rsid w:val="008B146B"/>
    <w:rsid w:val="008B1870"/>
    <w:rsid w:val="008B1DF1"/>
    <w:rsid w:val="008B2E83"/>
    <w:rsid w:val="008B3B1A"/>
    <w:rsid w:val="008B40F6"/>
    <w:rsid w:val="008B4368"/>
    <w:rsid w:val="008B4EBD"/>
    <w:rsid w:val="008B5056"/>
    <w:rsid w:val="008B5093"/>
    <w:rsid w:val="008B658D"/>
    <w:rsid w:val="008B6DC0"/>
    <w:rsid w:val="008C001A"/>
    <w:rsid w:val="008C0522"/>
    <w:rsid w:val="008C054D"/>
    <w:rsid w:val="008C08E9"/>
    <w:rsid w:val="008C0E0A"/>
    <w:rsid w:val="008C0FFC"/>
    <w:rsid w:val="008C16FD"/>
    <w:rsid w:val="008C19E7"/>
    <w:rsid w:val="008C3BDA"/>
    <w:rsid w:val="008C4106"/>
    <w:rsid w:val="008C4FC3"/>
    <w:rsid w:val="008C5BBE"/>
    <w:rsid w:val="008C61EB"/>
    <w:rsid w:val="008C66AF"/>
    <w:rsid w:val="008C7648"/>
    <w:rsid w:val="008C76C4"/>
    <w:rsid w:val="008C76EE"/>
    <w:rsid w:val="008C7B22"/>
    <w:rsid w:val="008C7C2C"/>
    <w:rsid w:val="008C7FAC"/>
    <w:rsid w:val="008D0420"/>
    <w:rsid w:val="008D0959"/>
    <w:rsid w:val="008D0E25"/>
    <w:rsid w:val="008D1487"/>
    <w:rsid w:val="008D15E3"/>
    <w:rsid w:val="008D28D3"/>
    <w:rsid w:val="008D2CAE"/>
    <w:rsid w:val="008D32FB"/>
    <w:rsid w:val="008D3F66"/>
    <w:rsid w:val="008D4FA9"/>
    <w:rsid w:val="008D5986"/>
    <w:rsid w:val="008D5ABD"/>
    <w:rsid w:val="008D62EA"/>
    <w:rsid w:val="008D6680"/>
    <w:rsid w:val="008E0847"/>
    <w:rsid w:val="008E0F3D"/>
    <w:rsid w:val="008E11DD"/>
    <w:rsid w:val="008E1269"/>
    <w:rsid w:val="008E1F61"/>
    <w:rsid w:val="008E207F"/>
    <w:rsid w:val="008E23B2"/>
    <w:rsid w:val="008E2CCD"/>
    <w:rsid w:val="008E320D"/>
    <w:rsid w:val="008E3281"/>
    <w:rsid w:val="008E3419"/>
    <w:rsid w:val="008E3735"/>
    <w:rsid w:val="008E39CC"/>
    <w:rsid w:val="008E414A"/>
    <w:rsid w:val="008E45F0"/>
    <w:rsid w:val="008E5AC8"/>
    <w:rsid w:val="008E5D35"/>
    <w:rsid w:val="008E6033"/>
    <w:rsid w:val="008F0E39"/>
    <w:rsid w:val="008F1356"/>
    <w:rsid w:val="008F175A"/>
    <w:rsid w:val="008F1E13"/>
    <w:rsid w:val="008F1F09"/>
    <w:rsid w:val="008F2739"/>
    <w:rsid w:val="008F2F8B"/>
    <w:rsid w:val="008F31B9"/>
    <w:rsid w:val="008F3FF6"/>
    <w:rsid w:val="008F43DC"/>
    <w:rsid w:val="008F4CBF"/>
    <w:rsid w:val="008F519E"/>
    <w:rsid w:val="008F5ACD"/>
    <w:rsid w:val="008F685C"/>
    <w:rsid w:val="008F6895"/>
    <w:rsid w:val="008F69BF"/>
    <w:rsid w:val="008F69CE"/>
    <w:rsid w:val="008F6AE7"/>
    <w:rsid w:val="008F7088"/>
    <w:rsid w:val="008F74CE"/>
    <w:rsid w:val="008F755D"/>
    <w:rsid w:val="008F766F"/>
    <w:rsid w:val="008F7B5F"/>
    <w:rsid w:val="008F7BD8"/>
    <w:rsid w:val="0090033A"/>
    <w:rsid w:val="00901038"/>
    <w:rsid w:val="00901696"/>
    <w:rsid w:val="00901AA4"/>
    <w:rsid w:val="009028BB"/>
    <w:rsid w:val="00903011"/>
    <w:rsid w:val="00903DD4"/>
    <w:rsid w:val="009046C1"/>
    <w:rsid w:val="00904CE0"/>
    <w:rsid w:val="00905838"/>
    <w:rsid w:val="00905880"/>
    <w:rsid w:val="00906689"/>
    <w:rsid w:val="00907026"/>
    <w:rsid w:val="00907325"/>
    <w:rsid w:val="00907B0E"/>
    <w:rsid w:val="00907D5C"/>
    <w:rsid w:val="009101E8"/>
    <w:rsid w:val="00911A97"/>
    <w:rsid w:val="00911B8A"/>
    <w:rsid w:val="00911BA2"/>
    <w:rsid w:val="0091242D"/>
    <w:rsid w:val="0091354E"/>
    <w:rsid w:val="009135E1"/>
    <w:rsid w:val="0091363A"/>
    <w:rsid w:val="00913903"/>
    <w:rsid w:val="00913C77"/>
    <w:rsid w:val="00913F23"/>
    <w:rsid w:val="00914005"/>
    <w:rsid w:val="0091403B"/>
    <w:rsid w:val="009143D6"/>
    <w:rsid w:val="009153D9"/>
    <w:rsid w:val="009156AA"/>
    <w:rsid w:val="00915CD0"/>
    <w:rsid w:val="00915FCC"/>
    <w:rsid w:val="0091621B"/>
    <w:rsid w:val="0091630C"/>
    <w:rsid w:val="00916505"/>
    <w:rsid w:val="00916EFC"/>
    <w:rsid w:val="00916F1A"/>
    <w:rsid w:val="009171F0"/>
    <w:rsid w:val="009173A9"/>
    <w:rsid w:val="00917BE2"/>
    <w:rsid w:val="009205A6"/>
    <w:rsid w:val="009208FC"/>
    <w:rsid w:val="00920A8F"/>
    <w:rsid w:val="00920C91"/>
    <w:rsid w:val="00920DED"/>
    <w:rsid w:val="009212BD"/>
    <w:rsid w:val="009216DB"/>
    <w:rsid w:val="00921BA9"/>
    <w:rsid w:val="00921CB3"/>
    <w:rsid w:val="00921E45"/>
    <w:rsid w:val="0092351D"/>
    <w:rsid w:val="0092391A"/>
    <w:rsid w:val="00923A31"/>
    <w:rsid w:val="0092415A"/>
    <w:rsid w:val="009241A7"/>
    <w:rsid w:val="009243E4"/>
    <w:rsid w:val="009246AD"/>
    <w:rsid w:val="009253E1"/>
    <w:rsid w:val="00925667"/>
    <w:rsid w:val="00926019"/>
    <w:rsid w:val="00926538"/>
    <w:rsid w:val="009265EC"/>
    <w:rsid w:val="009266FB"/>
    <w:rsid w:val="00926744"/>
    <w:rsid w:val="00926892"/>
    <w:rsid w:val="00926BC6"/>
    <w:rsid w:val="00926FE2"/>
    <w:rsid w:val="0092762F"/>
    <w:rsid w:val="00927D79"/>
    <w:rsid w:val="00927DB2"/>
    <w:rsid w:val="00927DF1"/>
    <w:rsid w:val="00930A73"/>
    <w:rsid w:val="00930DD5"/>
    <w:rsid w:val="009316E0"/>
    <w:rsid w:val="00931A01"/>
    <w:rsid w:val="00932595"/>
    <w:rsid w:val="00932723"/>
    <w:rsid w:val="00932A07"/>
    <w:rsid w:val="0093379D"/>
    <w:rsid w:val="00933A31"/>
    <w:rsid w:val="009342E1"/>
    <w:rsid w:val="00934B1E"/>
    <w:rsid w:val="00934F08"/>
    <w:rsid w:val="00935393"/>
    <w:rsid w:val="009366FF"/>
    <w:rsid w:val="00936D7A"/>
    <w:rsid w:val="00936EAD"/>
    <w:rsid w:val="009371B1"/>
    <w:rsid w:val="0093782B"/>
    <w:rsid w:val="00937C99"/>
    <w:rsid w:val="00940D19"/>
    <w:rsid w:val="00941664"/>
    <w:rsid w:val="0094200E"/>
    <w:rsid w:val="0094259F"/>
    <w:rsid w:val="00942A8F"/>
    <w:rsid w:val="0094333F"/>
    <w:rsid w:val="0094341D"/>
    <w:rsid w:val="00943833"/>
    <w:rsid w:val="00943D3A"/>
    <w:rsid w:val="00944117"/>
    <w:rsid w:val="00944828"/>
    <w:rsid w:val="009448E9"/>
    <w:rsid w:val="00944BD0"/>
    <w:rsid w:val="00944EA0"/>
    <w:rsid w:val="00945423"/>
    <w:rsid w:val="00945790"/>
    <w:rsid w:val="009457E5"/>
    <w:rsid w:val="00945F9F"/>
    <w:rsid w:val="0094628B"/>
    <w:rsid w:val="00946524"/>
    <w:rsid w:val="00946681"/>
    <w:rsid w:val="00946921"/>
    <w:rsid w:val="00946B99"/>
    <w:rsid w:val="00947548"/>
    <w:rsid w:val="009476AF"/>
    <w:rsid w:val="00947F6C"/>
    <w:rsid w:val="00950536"/>
    <w:rsid w:val="009505E1"/>
    <w:rsid w:val="00950693"/>
    <w:rsid w:val="0095097D"/>
    <w:rsid w:val="00950A66"/>
    <w:rsid w:val="00950BDC"/>
    <w:rsid w:val="009511FF"/>
    <w:rsid w:val="009518D6"/>
    <w:rsid w:val="009519AF"/>
    <w:rsid w:val="00951A07"/>
    <w:rsid w:val="00951BB0"/>
    <w:rsid w:val="00951BC3"/>
    <w:rsid w:val="00951D50"/>
    <w:rsid w:val="00951D7F"/>
    <w:rsid w:val="00951EC5"/>
    <w:rsid w:val="00952959"/>
    <w:rsid w:val="00952AE7"/>
    <w:rsid w:val="0095306B"/>
    <w:rsid w:val="00954067"/>
    <w:rsid w:val="009541F0"/>
    <w:rsid w:val="0095449F"/>
    <w:rsid w:val="00954807"/>
    <w:rsid w:val="00954AD2"/>
    <w:rsid w:val="00954B86"/>
    <w:rsid w:val="00955318"/>
    <w:rsid w:val="009554A2"/>
    <w:rsid w:val="00955C4C"/>
    <w:rsid w:val="009562A0"/>
    <w:rsid w:val="009562CB"/>
    <w:rsid w:val="009566EA"/>
    <w:rsid w:val="00956F8D"/>
    <w:rsid w:val="00957A1A"/>
    <w:rsid w:val="00957D47"/>
    <w:rsid w:val="009609FC"/>
    <w:rsid w:val="00960D02"/>
    <w:rsid w:val="00961450"/>
    <w:rsid w:val="00961C40"/>
    <w:rsid w:val="0096359A"/>
    <w:rsid w:val="00963A4B"/>
    <w:rsid w:val="00963B42"/>
    <w:rsid w:val="00963DF9"/>
    <w:rsid w:val="009641C5"/>
    <w:rsid w:val="00964386"/>
    <w:rsid w:val="00964963"/>
    <w:rsid w:val="00964DC0"/>
    <w:rsid w:val="00964DE7"/>
    <w:rsid w:val="009654B5"/>
    <w:rsid w:val="00965622"/>
    <w:rsid w:val="00965727"/>
    <w:rsid w:val="00965C20"/>
    <w:rsid w:val="0096645A"/>
    <w:rsid w:val="00966BB6"/>
    <w:rsid w:val="00966C4A"/>
    <w:rsid w:val="00967088"/>
    <w:rsid w:val="00967122"/>
    <w:rsid w:val="00967661"/>
    <w:rsid w:val="009677F9"/>
    <w:rsid w:val="00967D3D"/>
    <w:rsid w:val="009711CA"/>
    <w:rsid w:val="0097141E"/>
    <w:rsid w:val="0097242A"/>
    <w:rsid w:val="009729B7"/>
    <w:rsid w:val="00972BB8"/>
    <w:rsid w:val="009732AD"/>
    <w:rsid w:val="00973CAA"/>
    <w:rsid w:val="00974015"/>
    <w:rsid w:val="0097439C"/>
    <w:rsid w:val="009743FB"/>
    <w:rsid w:val="00974594"/>
    <w:rsid w:val="00974B15"/>
    <w:rsid w:val="0097556B"/>
    <w:rsid w:val="0097590B"/>
    <w:rsid w:val="00975DDF"/>
    <w:rsid w:val="00977447"/>
    <w:rsid w:val="009777C7"/>
    <w:rsid w:val="009777CD"/>
    <w:rsid w:val="009779E6"/>
    <w:rsid w:val="00977F29"/>
    <w:rsid w:val="009801AE"/>
    <w:rsid w:val="009813DC"/>
    <w:rsid w:val="009814AD"/>
    <w:rsid w:val="00981688"/>
    <w:rsid w:val="00981AAE"/>
    <w:rsid w:val="00981EE1"/>
    <w:rsid w:val="009821BA"/>
    <w:rsid w:val="0098237C"/>
    <w:rsid w:val="009824C0"/>
    <w:rsid w:val="009829B3"/>
    <w:rsid w:val="00982CB9"/>
    <w:rsid w:val="00983233"/>
    <w:rsid w:val="00983246"/>
    <w:rsid w:val="00983325"/>
    <w:rsid w:val="00983424"/>
    <w:rsid w:val="00983A48"/>
    <w:rsid w:val="00983F8D"/>
    <w:rsid w:val="009847F1"/>
    <w:rsid w:val="00984C67"/>
    <w:rsid w:val="00985361"/>
    <w:rsid w:val="00985992"/>
    <w:rsid w:val="00985D91"/>
    <w:rsid w:val="00985D9B"/>
    <w:rsid w:val="009867E9"/>
    <w:rsid w:val="0098687B"/>
    <w:rsid w:val="00986A35"/>
    <w:rsid w:val="00987242"/>
    <w:rsid w:val="00987A5F"/>
    <w:rsid w:val="00987C77"/>
    <w:rsid w:val="009900E1"/>
    <w:rsid w:val="00990ABE"/>
    <w:rsid w:val="00991DD3"/>
    <w:rsid w:val="009922DC"/>
    <w:rsid w:val="00992308"/>
    <w:rsid w:val="00992555"/>
    <w:rsid w:val="00992A9C"/>
    <w:rsid w:val="0099355C"/>
    <w:rsid w:val="009935A1"/>
    <w:rsid w:val="0099396F"/>
    <w:rsid w:val="009942D6"/>
    <w:rsid w:val="009948CD"/>
    <w:rsid w:val="00995138"/>
    <w:rsid w:val="00995A60"/>
    <w:rsid w:val="009974C4"/>
    <w:rsid w:val="00997747"/>
    <w:rsid w:val="0099796E"/>
    <w:rsid w:val="00997BE1"/>
    <w:rsid w:val="009A0F20"/>
    <w:rsid w:val="009A1BEC"/>
    <w:rsid w:val="009A1DBE"/>
    <w:rsid w:val="009A3663"/>
    <w:rsid w:val="009A3B88"/>
    <w:rsid w:val="009A3CA4"/>
    <w:rsid w:val="009A4061"/>
    <w:rsid w:val="009A41C3"/>
    <w:rsid w:val="009A44E6"/>
    <w:rsid w:val="009A472F"/>
    <w:rsid w:val="009A4D62"/>
    <w:rsid w:val="009A4DB0"/>
    <w:rsid w:val="009A571F"/>
    <w:rsid w:val="009A5CEE"/>
    <w:rsid w:val="009A5EB5"/>
    <w:rsid w:val="009A66A0"/>
    <w:rsid w:val="009A7012"/>
    <w:rsid w:val="009A702E"/>
    <w:rsid w:val="009B0534"/>
    <w:rsid w:val="009B055C"/>
    <w:rsid w:val="009B056A"/>
    <w:rsid w:val="009B0F64"/>
    <w:rsid w:val="009B0FB2"/>
    <w:rsid w:val="009B0FC4"/>
    <w:rsid w:val="009B1347"/>
    <w:rsid w:val="009B1B03"/>
    <w:rsid w:val="009B1BEB"/>
    <w:rsid w:val="009B3458"/>
    <w:rsid w:val="009B34A5"/>
    <w:rsid w:val="009B3BB9"/>
    <w:rsid w:val="009B3BC0"/>
    <w:rsid w:val="009B3C2B"/>
    <w:rsid w:val="009B3F3D"/>
    <w:rsid w:val="009B4A74"/>
    <w:rsid w:val="009B4D8B"/>
    <w:rsid w:val="009B57F4"/>
    <w:rsid w:val="009B5850"/>
    <w:rsid w:val="009B6872"/>
    <w:rsid w:val="009B6D55"/>
    <w:rsid w:val="009B788B"/>
    <w:rsid w:val="009B7A16"/>
    <w:rsid w:val="009C03A4"/>
    <w:rsid w:val="009C04A0"/>
    <w:rsid w:val="009C082E"/>
    <w:rsid w:val="009C3FD8"/>
    <w:rsid w:val="009C4866"/>
    <w:rsid w:val="009C48D4"/>
    <w:rsid w:val="009C4B01"/>
    <w:rsid w:val="009C50F7"/>
    <w:rsid w:val="009C51C4"/>
    <w:rsid w:val="009C52D6"/>
    <w:rsid w:val="009C5641"/>
    <w:rsid w:val="009C633A"/>
    <w:rsid w:val="009C66AA"/>
    <w:rsid w:val="009C6FA3"/>
    <w:rsid w:val="009C780D"/>
    <w:rsid w:val="009C799E"/>
    <w:rsid w:val="009C7C4D"/>
    <w:rsid w:val="009D03EE"/>
    <w:rsid w:val="009D049C"/>
    <w:rsid w:val="009D05C5"/>
    <w:rsid w:val="009D06E2"/>
    <w:rsid w:val="009D089A"/>
    <w:rsid w:val="009D0A7B"/>
    <w:rsid w:val="009D0BA0"/>
    <w:rsid w:val="009D0F17"/>
    <w:rsid w:val="009D1C0A"/>
    <w:rsid w:val="009D1C93"/>
    <w:rsid w:val="009D1CBD"/>
    <w:rsid w:val="009D1F18"/>
    <w:rsid w:val="009D2053"/>
    <w:rsid w:val="009D252D"/>
    <w:rsid w:val="009D2798"/>
    <w:rsid w:val="009D32BC"/>
    <w:rsid w:val="009D34A0"/>
    <w:rsid w:val="009D3C2A"/>
    <w:rsid w:val="009D3F43"/>
    <w:rsid w:val="009D434A"/>
    <w:rsid w:val="009D4457"/>
    <w:rsid w:val="009D6009"/>
    <w:rsid w:val="009D6113"/>
    <w:rsid w:val="009D6240"/>
    <w:rsid w:val="009D6260"/>
    <w:rsid w:val="009D6822"/>
    <w:rsid w:val="009D684B"/>
    <w:rsid w:val="009D6880"/>
    <w:rsid w:val="009D6FE9"/>
    <w:rsid w:val="009D71D2"/>
    <w:rsid w:val="009D786F"/>
    <w:rsid w:val="009E04A8"/>
    <w:rsid w:val="009E08EF"/>
    <w:rsid w:val="009E097F"/>
    <w:rsid w:val="009E0C91"/>
    <w:rsid w:val="009E0FB5"/>
    <w:rsid w:val="009E1D28"/>
    <w:rsid w:val="009E209E"/>
    <w:rsid w:val="009E21DD"/>
    <w:rsid w:val="009E2271"/>
    <w:rsid w:val="009E251A"/>
    <w:rsid w:val="009E291D"/>
    <w:rsid w:val="009E2BBD"/>
    <w:rsid w:val="009E2FD0"/>
    <w:rsid w:val="009E378B"/>
    <w:rsid w:val="009E3B19"/>
    <w:rsid w:val="009E3B68"/>
    <w:rsid w:val="009E3F7A"/>
    <w:rsid w:val="009E45EC"/>
    <w:rsid w:val="009E4CC8"/>
    <w:rsid w:val="009E612A"/>
    <w:rsid w:val="009E62CD"/>
    <w:rsid w:val="009E6374"/>
    <w:rsid w:val="009E6A04"/>
    <w:rsid w:val="009E7E00"/>
    <w:rsid w:val="009F0F64"/>
    <w:rsid w:val="009F103F"/>
    <w:rsid w:val="009F10E3"/>
    <w:rsid w:val="009F1442"/>
    <w:rsid w:val="009F15EE"/>
    <w:rsid w:val="009F1765"/>
    <w:rsid w:val="009F177B"/>
    <w:rsid w:val="009F1DCE"/>
    <w:rsid w:val="009F1FF0"/>
    <w:rsid w:val="009F2756"/>
    <w:rsid w:val="009F29A7"/>
    <w:rsid w:val="009F316B"/>
    <w:rsid w:val="009F3371"/>
    <w:rsid w:val="009F35B3"/>
    <w:rsid w:val="009F37B8"/>
    <w:rsid w:val="009F3E0B"/>
    <w:rsid w:val="009F3E47"/>
    <w:rsid w:val="009F448D"/>
    <w:rsid w:val="009F4A10"/>
    <w:rsid w:val="009F4CC7"/>
    <w:rsid w:val="009F4E25"/>
    <w:rsid w:val="009F4FEA"/>
    <w:rsid w:val="009F5790"/>
    <w:rsid w:val="009F5C05"/>
    <w:rsid w:val="009F5D42"/>
    <w:rsid w:val="009F6130"/>
    <w:rsid w:val="009F6C51"/>
    <w:rsid w:val="009F7B65"/>
    <w:rsid w:val="00A00623"/>
    <w:rsid w:val="00A00857"/>
    <w:rsid w:val="00A00B03"/>
    <w:rsid w:val="00A00F8B"/>
    <w:rsid w:val="00A01068"/>
    <w:rsid w:val="00A01CDA"/>
    <w:rsid w:val="00A01E02"/>
    <w:rsid w:val="00A028D4"/>
    <w:rsid w:val="00A02A8A"/>
    <w:rsid w:val="00A02E42"/>
    <w:rsid w:val="00A03125"/>
    <w:rsid w:val="00A033EE"/>
    <w:rsid w:val="00A03501"/>
    <w:rsid w:val="00A0383F"/>
    <w:rsid w:val="00A03A2E"/>
    <w:rsid w:val="00A03D15"/>
    <w:rsid w:val="00A040D0"/>
    <w:rsid w:val="00A041E9"/>
    <w:rsid w:val="00A04875"/>
    <w:rsid w:val="00A0510B"/>
    <w:rsid w:val="00A05539"/>
    <w:rsid w:val="00A0627D"/>
    <w:rsid w:val="00A06D45"/>
    <w:rsid w:val="00A06D7A"/>
    <w:rsid w:val="00A07025"/>
    <w:rsid w:val="00A07BEF"/>
    <w:rsid w:val="00A07F10"/>
    <w:rsid w:val="00A10E93"/>
    <w:rsid w:val="00A11023"/>
    <w:rsid w:val="00A1109C"/>
    <w:rsid w:val="00A116BA"/>
    <w:rsid w:val="00A11EA8"/>
    <w:rsid w:val="00A12629"/>
    <w:rsid w:val="00A12698"/>
    <w:rsid w:val="00A1277D"/>
    <w:rsid w:val="00A12ACA"/>
    <w:rsid w:val="00A135B4"/>
    <w:rsid w:val="00A136FC"/>
    <w:rsid w:val="00A13D32"/>
    <w:rsid w:val="00A14081"/>
    <w:rsid w:val="00A14353"/>
    <w:rsid w:val="00A14516"/>
    <w:rsid w:val="00A14B6C"/>
    <w:rsid w:val="00A152B9"/>
    <w:rsid w:val="00A15612"/>
    <w:rsid w:val="00A15986"/>
    <w:rsid w:val="00A15998"/>
    <w:rsid w:val="00A15B5D"/>
    <w:rsid w:val="00A160A2"/>
    <w:rsid w:val="00A1651B"/>
    <w:rsid w:val="00A16838"/>
    <w:rsid w:val="00A16C19"/>
    <w:rsid w:val="00A16E15"/>
    <w:rsid w:val="00A16E89"/>
    <w:rsid w:val="00A1712C"/>
    <w:rsid w:val="00A171E6"/>
    <w:rsid w:val="00A200A1"/>
    <w:rsid w:val="00A20A0A"/>
    <w:rsid w:val="00A210F5"/>
    <w:rsid w:val="00A21729"/>
    <w:rsid w:val="00A218BA"/>
    <w:rsid w:val="00A21A37"/>
    <w:rsid w:val="00A21D2E"/>
    <w:rsid w:val="00A2205A"/>
    <w:rsid w:val="00A228E8"/>
    <w:rsid w:val="00A22AB1"/>
    <w:rsid w:val="00A231EF"/>
    <w:rsid w:val="00A234D8"/>
    <w:rsid w:val="00A258C4"/>
    <w:rsid w:val="00A25A21"/>
    <w:rsid w:val="00A25CEB"/>
    <w:rsid w:val="00A25F48"/>
    <w:rsid w:val="00A2614D"/>
    <w:rsid w:val="00A2626F"/>
    <w:rsid w:val="00A265B6"/>
    <w:rsid w:val="00A26ADE"/>
    <w:rsid w:val="00A26BB8"/>
    <w:rsid w:val="00A27207"/>
    <w:rsid w:val="00A2752C"/>
    <w:rsid w:val="00A27819"/>
    <w:rsid w:val="00A279F1"/>
    <w:rsid w:val="00A27A18"/>
    <w:rsid w:val="00A27C3C"/>
    <w:rsid w:val="00A301AB"/>
    <w:rsid w:val="00A3026B"/>
    <w:rsid w:val="00A304E6"/>
    <w:rsid w:val="00A30AA7"/>
    <w:rsid w:val="00A30F91"/>
    <w:rsid w:val="00A3139D"/>
    <w:rsid w:val="00A31D2A"/>
    <w:rsid w:val="00A32152"/>
    <w:rsid w:val="00A322C0"/>
    <w:rsid w:val="00A3255E"/>
    <w:rsid w:val="00A326EF"/>
    <w:rsid w:val="00A32826"/>
    <w:rsid w:val="00A33233"/>
    <w:rsid w:val="00A3345E"/>
    <w:rsid w:val="00A34392"/>
    <w:rsid w:val="00A34469"/>
    <w:rsid w:val="00A34692"/>
    <w:rsid w:val="00A34B28"/>
    <w:rsid w:val="00A34F19"/>
    <w:rsid w:val="00A35422"/>
    <w:rsid w:val="00A35CE5"/>
    <w:rsid w:val="00A35E6F"/>
    <w:rsid w:val="00A360DE"/>
    <w:rsid w:val="00A37238"/>
    <w:rsid w:val="00A37478"/>
    <w:rsid w:val="00A376B1"/>
    <w:rsid w:val="00A378C1"/>
    <w:rsid w:val="00A401B8"/>
    <w:rsid w:val="00A411A0"/>
    <w:rsid w:val="00A430AF"/>
    <w:rsid w:val="00A43194"/>
    <w:rsid w:val="00A4345F"/>
    <w:rsid w:val="00A4382F"/>
    <w:rsid w:val="00A43A19"/>
    <w:rsid w:val="00A44534"/>
    <w:rsid w:val="00A44921"/>
    <w:rsid w:val="00A44DB4"/>
    <w:rsid w:val="00A45760"/>
    <w:rsid w:val="00A45C47"/>
    <w:rsid w:val="00A45DAC"/>
    <w:rsid w:val="00A46486"/>
    <w:rsid w:val="00A46F30"/>
    <w:rsid w:val="00A47061"/>
    <w:rsid w:val="00A5023C"/>
    <w:rsid w:val="00A503A2"/>
    <w:rsid w:val="00A5146D"/>
    <w:rsid w:val="00A51FB2"/>
    <w:rsid w:val="00A52432"/>
    <w:rsid w:val="00A525BB"/>
    <w:rsid w:val="00A52BC1"/>
    <w:rsid w:val="00A52C79"/>
    <w:rsid w:val="00A5356D"/>
    <w:rsid w:val="00A543B5"/>
    <w:rsid w:val="00A54E13"/>
    <w:rsid w:val="00A54E20"/>
    <w:rsid w:val="00A54F10"/>
    <w:rsid w:val="00A55DD3"/>
    <w:rsid w:val="00A5687C"/>
    <w:rsid w:val="00A57084"/>
    <w:rsid w:val="00A57349"/>
    <w:rsid w:val="00A576D0"/>
    <w:rsid w:val="00A57D4F"/>
    <w:rsid w:val="00A6192F"/>
    <w:rsid w:val="00A61BD3"/>
    <w:rsid w:val="00A61D86"/>
    <w:rsid w:val="00A621D6"/>
    <w:rsid w:val="00A62331"/>
    <w:rsid w:val="00A62340"/>
    <w:rsid w:val="00A62501"/>
    <w:rsid w:val="00A62AB7"/>
    <w:rsid w:val="00A62D90"/>
    <w:rsid w:val="00A63670"/>
    <w:rsid w:val="00A64AD6"/>
    <w:rsid w:val="00A654FD"/>
    <w:rsid w:val="00A65902"/>
    <w:rsid w:val="00A65B3F"/>
    <w:rsid w:val="00A667EA"/>
    <w:rsid w:val="00A6761E"/>
    <w:rsid w:val="00A67776"/>
    <w:rsid w:val="00A67988"/>
    <w:rsid w:val="00A67B5F"/>
    <w:rsid w:val="00A67D0C"/>
    <w:rsid w:val="00A70477"/>
    <w:rsid w:val="00A7049B"/>
    <w:rsid w:val="00A70B82"/>
    <w:rsid w:val="00A71586"/>
    <w:rsid w:val="00A71E71"/>
    <w:rsid w:val="00A72A88"/>
    <w:rsid w:val="00A73A5B"/>
    <w:rsid w:val="00A73C6C"/>
    <w:rsid w:val="00A74245"/>
    <w:rsid w:val="00A746A0"/>
    <w:rsid w:val="00A748AA"/>
    <w:rsid w:val="00A748C9"/>
    <w:rsid w:val="00A748DE"/>
    <w:rsid w:val="00A74ABD"/>
    <w:rsid w:val="00A754E6"/>
    <w:rsid w:val="00A757B4"/>
    <w:rsid w:val="00A75EC9"/>
    <w:rsid w:val="00A7661A"/>
    <w:rsid w:val="00A76F0A"/>
    <w:rsid w:val="00A77145"/>
    <w:rsid w:val="00A7757D"/>
    <w:rsid w:val="00A775E7"/>
    <w:rsid w:val="00A80038"/>
    <w:rsid w:val="00A800BD"/>
    <w:rsid w:val="00A8081E"/>
    <w:rsid w:val="00A80B16"/>
    <w:rsid w:val="00A81DC5"/>
    <w:rsid w:val="00A82251"/>
    <w:rsid w:val="00A822C0"/>
    <w:rsid w:val="00A83880"/>
    <w:rsid w:val="00A83AA2"/>
    <w:rsid w:val="00A83BFC"/>
    <w:rsid w:val="00A83D59"/>
    <w:rsid w:val="00A83E6A"/>
    <w:rsid w:val="00A841A2"/>
    <w:rsid w:val="00A8431E"/>
    <w:rsid w:val="00A847B5"/>
    <w:rsid w:val="00A847DE"/>
    <w:rsid w:val="00A84931"/>
    <w:rsid w:val="00A84F52"/>
    <w:rsid w:val="00A8509D"/>
    <w:rsid w:val="00A85F01"/>
    <w:rsid w:val="00A87328"/>
    <w:rsid w:val="00A876DE"/>
    <w:rsid w:val="00A87727"/>
    <w:rsid w:val="00A87CE7"/>
    <w:rsid w:val="00A902D1"/>
    <w:rsid w:val="00A90375"/>
    <w:rsid w:val="00A909BF"/>
    <w:rsid w:val="00A909F9"/>
    <w:rsid w:val="00A90A72"/>
    <w:rsid w:val="00A90B3C"/>
    <w:rsid w:val="00A90D9E"/>
    <w:rsid w:val="00A90F9F"/>
    <w:rsid w:val="00A91687"/>
    <w:rsid w:val="00A91912"/>
    <w:rsid w:val="00A91A94"/>
    <w:rsid w:val="00A91B1C"/>
    <w:rsid w:val="00A91EF6"/>
    <w:rsid w:val="00A91F24"/>
    <w:rsid w:val="00A92421"/>
    <w:rsid w:val="00A924D0"/>
    <w:rsid w:val="00A936B4"/>
    <w:rsid w:val="00A938F1"/>
    <w:rsid w:val="00A93F6E"/>
    <w:rsid w:val="00A941E9"/>
    <w:rsid w:val="00A94420"/>
    <w:rsid w:val="00A94633"/>
    <w:rsid w:val="00A953A5"/>
    <w:rsid w:val="00A95E64"/>
    <w:rsid w:val="00A9622D"/>
    <w:rsid w:val="00A96C2C"/>
    <w:rsid w:val="00A96E38"/>
    <w:rsid w:val="00A96E94"/>
    <w:rsid w:val="00A97084"/>
    <w:rsid w:val="00A972AD"/>
    <w:rsid w:val="00A97932"/>
    <w:rsid w:val="00A97E9A"/>
    <w:rsid w:val="00A97EBC"/>
    <w:rsid w:val="00AA0192"/>
    <w:rsid w:val="00AA03AD"/>
    <w:rsid w:val="00AA0AB7"/>
    <w:rsid w:val="00AA1EE3"/>
    <w:rsid w:val="00AA1F38"/>
    <w:rsid w:val="00AA278E"/>
    <w:rsid w:val="00AA4268"/>
    <w:rsid w:val="00AA4B37"/>
    <w:rsid w:val="00AA519C"/>
    <w:rsid w:val="00AA51B8"/>
    <w:rsid w:val="00AA5ED0"/>
    <w:rsid w:val="00AA6152"/>
    <w:rsid w:val="00AA615D"/>
    <w:rsid w:val="00AA63E0"/>
    <w:rsid w:val="00AA676A"/>
    <w:rsid w:val="00AA69B8"/>
    <w:rsid w:val="00AA6F46"/>
    <w:rsid w:val="00AA70B1"/>
    <w:rsid w:val="00AA70CA"/>
    <w:rsid w:val="00AA72D1"/>
    <w:rsid w:val="00AA7BCC"/>
    <w:rsid w:val="00AA7BFC"/>
    <w:rsid w:val="00AA7C1C"/>
    <w:rsid w:val="00AA7DB9"/>
    <w:rsid w:val="00AB027F"/>
    <w:rsid w:val="00AB0408"/>
    <w:rsid w:val="00AB0487"/>
    <w:rsid w:val="00AB0BED"/>
    <w:rsid w:val="00AB1647"/>
    <w:rsid w:val="00AB1AE6"/>
    <w:rsid w:val="00AB1CE4"/>
    <w:rsid w:val="00AB202E"/>
    <w:rsid w:val="00AB22E7"/>
    <w:rsid w:val="00AB257F"/>
    <w:rsid w:val="00AB29F5"/>
    <w:rsid w:val="00AB2BFB"/>
    <w:rsid w:val="00AB380A"/>
    <w:rsid w:val="00AB3B23"/>
    <w:rsid w:val="00AB447E"/>
    <w:rsid w:val="00AB48BE"/>
    <w:rsid w:val="00AB4A39"/>
    <w:rsid w:val="00AB4D2F"/>
    <w:rsid w:val="00AB55E3"/>
    <w:rsid w:val="00AB67AF"/>
    <w:rsid w:val="00AB6A69"/>
    <w:rsid w:val="00AB7052"/>
    <w:rsid w:val="00AB7139"/>
    <w:rsid w:val="00AB784F"/>
    <w:rsid w:val="00AB7BD1"/>
    <w:rsid w:val="00AC0052"/>
    <w:rsid w:val="00AC00A2"/>
    <w:rsid w:val="00AC1370"/>
    <w:rsid w:val="00AC13EE"/>
    <w:rsid w:val="00AC175C"/>
    <w:rsid w:val="00AC17B1"/>
    <w:rsid w:val="00AC1923"/>
    <w:rsid w:val="00AC1A70"/>
    <w:rsid w:val="00AC1DDE"/>
    <w:rsid w:val="00AC2653"/>
    <w:rsid w:val="00AC2AF8"/>
    <w:rsid w:val="00AC2F50"/>
    <w:rsid w:val="00AC3E9C"/>
    <w:rsid w:val="00AC4668"/>
    <w:rsid w:val="00AC485F"/>
    <w:rsid w:val="00AC498D"/>
    <w:rsid w:val="00AC521F"/>
    <w:rsid w:val="00AC598A"/>
    <w:rsid w:val="00AC5D5E"/>
    <w:rsid w:val="00AC6296"/>
    <w:rsid w:val="00AC66B7"/>
    <w:rsid w:val="00AC6D62"/>
    <w:rsid w:val="00AC723A"/>
    <w:rsid w:val="00AC7947"/>
    <w:rsid w:val="00AD0255"/>
    <w:rsid w:val="00AD02CA"/>
    <w:rsid w:val="00AD081D"/>
    <w:rsid w:val="00AD2812"/>
    <w:rsid w:val="00AD39F8"/>
    <w:rsid w:val="00AD43FB"/>
    <w:rsid w:val="00AD445D"/>
    <w:rsid w:val="00AD4AD0"/>
    <w:rsid w:val="00AD4F1F"/>
    <w:rsid w:val="00AD53A6"/>
    <w:rsid w:val="00AD5652"/>
    <w:rsid w:val="00AD56BD"/>
    <w:rsid w:val="00AD573A"/>
    <w:rsid w:val="00AD6A03"/>
    <w:rsid w:val="00AD6AEF"/>
    <w:rsid w:val="00AD70D3"/>
    <w:rsid w:val="00AD791D"/>
    <w:rsid w:val="00AE0319"/>
    <w:rsid w:val="00AE071D"/>
    <w:rsid w:val="00AE0B17"/>
    <w:rsid w:val="00AE0BB9"/>
    <w:rsid w:val="00AE0DD4"/>
    <w:rsid w:val="00AE1467"/>
    <w:rsid w:val="00AE15A3"/>
    <w:rsid w:val="00AE1B1F"/>
    <w:rsid w:val="00AE1BD2"/>
    <w:rsid w:val="00AE2508"/>
    <w:rsid w:val="00AE28A8"/>
    <w:rsid w:val="00AE321A"/>
    <w:rsid w:val="00AE39E3"/>
    <w:rsid w:val="00AE3C9E"/>
    <w:rsid w:val="00AE3D16"/>
    <w:rsid w:val="00AE454D"/>
    <w:rsid w:val="00AE4BBB"/>
    <w:rsid w:val="00AE4F23"/>
    <w:rsid w:val="00AE4F3A"/>
    <w:rsid w:val="00AE53C3"/>
    <w:rsid w:val="00AE53D7"/>
    <w:rsid w:val="00AE5477"/>
    <w:rsid w:val="00AE5563"/>
    <w:rsid w:val="00AE5650"/>
    <w:rsid w:val="00AE5982"/>
    <w:rsid w:val="00AE6007"/>
    <w:rsid w:val="00AE635F"/>
    <w:rsid w:val="00AE6847"/>
    <w:rsid w:val="00AE75CA"/>
    <w:rsid w:val="00AE7764"/>
    <w:rsid w:val="00AE7C89"/>
    <w:rsid w:val="00AF00F0"/>
    <w:rsid w:val="00AF0689"/>
    <w:rsid w:val="00AF0EE1"/>
    <w:rsid w:val="00AF19E9"/>
    <w:rsid w:val="00AF1E62"/>
    <w:rsid w:val="00AF2062"/>
    <w:rsid w:val="00AF2398"/>
    <w:rsid w:val="00AF2540"/>
    <w:rsid w:val="00AF2576"/>
    <w:rsid w:val="00AF28A2"/>
    <w:rsid w:val="00AF32FB"/>
    <w:rsid w:val="00AF3A4C"/>
    <w:rsid w:val="00AF3D10"/>
    <w:rsid w:val="00AF418B"/>
    <w:rsid w:val="00AF424D"/>
    <w:rsid w:val="00AF426B"/>
    <w:rsid w:val="00AF4860"/>
    <w:rsid w:val="00AF4ECA"/>
    <w:rsid w:val="00AF60FB"/>
    <w:rsid w:val="00AF68B8"/>
    <w:rsid w:val="00AF697C"/>
    <w:rsid w:val="00AF69F2"/>
    <w:rsid w:val="00AF6AA4"/>
    <w:rsid w:val="00AF6AFB"/>
    <w:rsid w:val="00AF747C"/>
    <w:rsid w:val="00AF7770"/>
    <w:rsid w:val="00AF7EF1"/>
    <w:rsid w:val="00B0016C"/>
    <w:rsid w:val="00B0043F"/>
    <w:rsid w:val="00B0047C"/>
    <w:rsid w:val="00B007BD"/>
    <w:rsid w:val="00B00A05"/>
    <w:rsid w:val="00B010EC"/>
    <w:rsid w:val="00B017F6"/>
    <w:rsid w:val="00B01F11"/>
    <w:rsid w:val="00B01F5E"/>
    <w:rsid w:val="00B0245F"/>
    <w:rsid w:val="00B02A20"/>
    <w:rsid w:val="00B0322B"/>
    <w:rsid w:val="00B03249"/>
    <w:rsid w:val="00B04CC3"/>
    <w:rsid w:val="00B04EA4"/>
    <w:rsid w:val="00B0541A"/>
    <w:rsid w:val="00B058D4"/>
    <w:rsid w:val="00B063B8"/>
    <w:rsid w:val="00B0645D"/>
    <w:rsid w:val="00B0652E"/>
    <w:rsid w:val="00B06C3B"/>
    <w:rsid w:val="00B07559"/>
    <w:rsid w:val="00B0756C"/>
    <w:rsid w:val="00B10011"/>
    <w:rsid w:val="00B1006C"/>
    <w:rsid w:val="00B10470"/>
    <w:rsid w:val="00B10986"/>
    <w:rsid w:val="00B109B9"/>
    <w:rsid w:val="00B10FEA"/>
    <w:rsid w:val="00B11A08"/>
    <w:rsid w:val="00B11B53"/>
    <w:rsid w:val="00B12247"/>
    <w:rsid w:val="00B1236C"/>
    <w:rsid w:val="00B12FA5"/>
    <w:rsid w:val="00B1353C"/>
    <w:rsid w:val="00B13650"/>
    <w:rsid w:val="00B136A9"/>
    <w:rsid w:val="00B1391C"/>
    <w:rsid w:val="00B13D55"/>
    <w:rsid w:val="00B13EBD"/>
    <w:rsid w:val="00B14106"/>
    <w:rsid w:val="00B14B7C"/>
    <w:rsid w:val="00B14FDD"/>
    <w:rsid w:val="00B15035"/>
    <w:rsid w:val="00B1533E"/>
    <w:rsid w:val="00B1568D"/>
    <w:rsid w:val="00B156AE"/>
    <w:rsid w:val="00B158C0"/>
    <w:rsid w:val="00B16172"/>
    <w:rsid w:val="00B1653D"/>
    <w:rsid w:val="00B172A6"/>
    <w:rsid w:val="00B17837"/>
    <w:rsid w:val="00B17EC7"/>
    <w:rsid w:val="00B200E0"/>
    <w:rsid w:val="00B20606"/>
    <w:rsid w:val="00B20839"/>
    <w:rsid w:val="00B209C9"/>
    <w:rsid w:val="00B209FD"/>
    <w:rsid w:val="00B20A34"/>
    <w:rsid w:val="00B2126F"/>
    <w:rsid w:val="00B21B5A"/>
    <w:rsid w:val="00B21CC4"/>
    <w:rsid w:val="00B21D3D"/>
    <w:rsid w:val="00B228B6"/>
    <w:rsid w:val="00B22E93"/>
    <w:rsid w:val="00B23A34"/>
    <w:rsid w:val="00B23DA4"/>
    <w:rsid w:val="00B23EFB"/>
    <w:rsid w:val="00B241A1"/>
    <w:rsid w:val="00B24D74"/>
    <w:rsid w:val="00B24D7D"/>
    <w:rsid w:val="00B250AA"/>
    <w:rsid w:val="00B255FD"/>
    <w:rsid w:val="00B258CD"/>
    <w:rsid w:val="00B25AEE"/>
    <w:rsid w:val="00B25BA1"/>
    <w:rsid w:val="00B25D9D"/>
    <w:rsid w:val="00B260D5"/>
    <w:rsid w:val="00B26742"/>
    <w:rsid w:val="00B26BBB"/>
    <w:rsid w:val="00B270E5"/>
    <w:rsid w:val="00B27CBD"/>
    <w:rsid w:val="00B30091"/>
    <w:rsid w:val="00B30B8B"/>
    <w:rsid w:val="00B30C41"/>
    <w:rsid w:val="00B30E71"/>
    <w:rsid w:val="00B31458"/>
    <w:rsid w:val="00B31F81"/>
    <w:rsid w:val="00B32273"/>
    <w:rsid w:val="00B32661"/>
    <w:rsid w:val="00B327ED"/>
    <w:rsid w:val="00B32A91"/>
    <w:rsid w:val="00B3303D"/>
    <w:rsid w:val="00B336D3"/>
    <w:rsid w:val="00B3375D"/>
    <w:rsid w:val="00B3392F"/>
    <w:rsid w:val="00B342D9"/>
    <w:rsid w:val="00B345BF"/>
    <w:rsid w:val="00B349F8"/>
    <w:rsid w:val="00B34B10"/>
    <w:rsid w:val="00B352DD"/>
    <w:rsid w:val="00B3585A"/>
    <w:rsid w:val="00B3605E"/>
    <w:rsid w:val="00B36EED"/>
    <w:rsid w:val="00B40417"/>
    <w:rsid w:val="00B40A67"/>
    <w:rsid w:val="00B41132"/>
    <w:rsid w:val="00B42643"/>
    <w:rsid w:val="00B42928"/>
    <w:rsid w:val="00B436AC"/>
    <w:rsid w:val="00B43C18"/>
    <w:rsid w:val="00B44CEC"/>
    <w:rsid w:val="00B45009"/>
    <w:rsid w:val="00B45811"/>
    <w:rsid w:val="00B45DF3"/>
    <w:rsid w:val="00B45EAC"/>
    <w:rsid w:val="00B473F3"/>
    <w:rsid w:val="00B4755C"/>
    <w:rsid w:val="00B47582"/>
    <w:rsid w:val="00B47CE5"/>
    <w:rsid w:val="00B47F08"/>
    <w:rsid w:val="00B5012F"/>
    <w:rsid w:val="00B502BD"/>
    <w:rsid w:val="00B5140D"/>
    <w:rsid w:val="00B51634"/>
    <w:rsid w:val="00B518C7"/>
    <w:rsid w:val="00B525B8"/>
    <w:rsid w:val="00B52B85"/>
    <w:rsid w:val="00B53030"/>
    <w:rsid w:val="00B5322B"/>
    <w:rsid w:val="00B539DF"/>
    <w:rsid w:val="00B53B7B"/>
    <w:rsid w:val="00B53CEF"/>
    <w:rsid w:val="00B54789"/>
    <w:rsid w:val="00B5773B"/>
    <w:rsid w:val="00B57759"/>
    <w:rsid w:val="00B57945"/>
    <w:rsid w:val="00B57C4F"/>
    <w:rsid w:val="00B57D67"/>
    <w:rsid w:val="00B57E11"/>
    <w:rsid w:val="00B60579"/>
    <w:rsid w:val="00B60D41"/>
    <w:rsid w:val="00B612B1"/>
    <w:rsid w:val="00B61348"/>
    <w:rsid w:val="00B61529"/>
    <w:rsid w:val="00B61A5A"/>
    <w:rsid w:val="00B624C7"/>
    <w:rsid w:val="00B63489"/>
    <w:rsid w:val="00B63DB7"/>
    <w:rsid w:val="00B63EBC"/>
    <w:rsid w:val="00B64516"/>
    <w:rsid w:val="00B64579"/>
    <w:rsid w:val="00B6465E"/>
    <w:rsid w:val="00B64670"/>
    <w:rsid w:val="00B65779"/>
    <w:rsid w:val="00B65A67"/>
    <w:rsid w:val="00B65A6D"/>
    <w:rsid w:val="00B65F16"/>
    <w:rsid w:val="00B65F90"/>
    <w:rsid w:val="00B66166"/>
    <w:rsid w:val="00B6621E"/>
    <w:rsid w:val="00B668D1"/>
    <w:rsid w:val="00B67028"/>
    <w:rsid w:val="00B67CAF"/>
    <w:rsid w:val="00B70190"/>
    <w:rsid w:val="00B7038C"/>
    <w:rsid w:val="00B7081D"/>
    <w:rsid w:val="00B70B42"/>
    <w:rsid w:val="00B70ED4"/>
    <w:rsid w:val="00B7131F"/>
    <w:rsid w:val="00B71429"/>
    <w:rsid w:val="00B714DD"/>
    <w:rsid w:val="00B71518"/>
    <w:rsid w:val="00B7259F"/>
    <w:rsid w:val="00B725B7"/>
    <w:rsid w:val="00B72A9A"/>
    <w:rsid w:val="00B72C4E"/>
    <w:rsid w:val="00B738F7"/>
    <w:rsid w:val="00B74B07"/>
    <w:rsid w:val="00B7539A"/>
    <w:rsid w:val="00B7573C"/>
    <w:rsid w:val="00B75D48"/>
    <w:rsid w:val="00B765D6"/>
    <w:rsid w:val="00B7665F"/>
    <w:rsid w:val="00B769E7"/>
    <w:rsid w:val="00B771D3"/>
    <w:rsid w:val="00B7733E"/>
    <w:rsid w:val="00B77354"/>
    <w:rsid w:val="00B7754B"/>
    <w:rsid w:val="00B778FB"/>
    <w:rsid w:val="00B77A04"/>
    <w:rsid w:val="00B77A3A"/>
    <w:rsid w:val="00B80093"/>
    <w:rsid w:val="00B8011F"/>
    <w:rsid w:val="00B80933"/>
    <w:rsid w:val="00B80A5F"/>
    <w:rsid w:val="00B82096"/>
    <w:rsid w:val="00B82419"/>
    <w:rsid w:val="00B82613"/>
    <w:rsid w:val="00B82A56"/>
    <w:rsid w:val="00B82D42"/>
    <w:rsid w:val="00B82E90"/>
    <w:rsid w:val="00B82F83"/>
    <w:rsid w:val="00B82FF5"/>
    <w:rsid w:val="00B8379E"/>
    <w:rsid w:val="00B8395C"/>
    <w:rsid w:val="00B83C35"/>
    <w:rsid w:val="00B83DC8"/>
    <w:rsid w:val="00B83FD5"/>
    <w:rsid w:val="00B84499"/>
    <w:rsid w:val="00B844DB"/>
    <w:rsid w:val="00B846B4"/>
    <w:rsid w:val="00B84A5D"/>
    <w:rsid w:val="00B84F97"/>
    <w:rsid w:val="00B85738"/>
    <w:rsid w:val="00B85760"/>
    <w:rsid w:val="00B85B8F"/>
    <w:rsid w:val="00B85CE5"/>
    <w:rsid w:val="00B85E98"/>
    <w:rsid w:val="00B86622"/>
    <w:rsid w:val="00B86F0D"/>
    <w:rsid w:val="00B86FA2"/>
    <w:rsid w:val="00B87333"/>
    <w:rsid w:val="00B90F3A"/>
    <w:rsid w:val="00B911DD"/>
    <w:rsid w:val="00B91639"/>
    <w:rsid w:val="00B91B96"/>
    <w:rsid w:val="00B91BB8"/>
    <w:rsid w:val="00B91FD8"/>
    <w:rsid w:val="00B92335"/>
    <w:rsid w:val="00B924C7"/>
    <w:rsid w:val="00B92DDA"/>
    <w:rsid w:val="00B92F14"/>
    <w:rsid w:val="00B9449E"/>
    <w:rsid w:val="00B94E1D"/>
    <w:rsid w:val="00B95FE9"/>
    <w:rsid w:val="00B965EF"/>
    <w:rsid w:val="00B967B3"/>
    <w:rsid w:val="00B9686F"/>
    <w:rsid w:val="00B96DA0"/>
    <w:rsid w:val="00B9711F"/>
    <w:rsid w:val="00B9743E"/>
    <w:rsid w:val="00BA03FD"/>
    <w:rsid w:val="00BA04EA"/>
    <w:rsid w:val="00BA1A76"/>
    <w:rsid w:val="00BA1B56"/>
    <w:rsid w:val="00BA1C3E"/>
    <w:rsid w:val="00BA2DD4"/>
    <w:rsid w:val="00BA3795"/>
    <w:rsid w:val="00BA3A9D"/>
    <w:rsid w:val="00BA3B33"/>
    <w:rsid w:val="00BA3BD2"/>
    <w:rsid w:val="00BA3D71"/>
    <w:rsid w:val="00BA41B1"/>
    <w:rsid w:val="00BA4415"/>
    <w:rsid w:val="00BA4F36"/>
    <w:rsid w:val="00BA52FF"/>
    <w:rsid w:val="00BA5350"/>
    <w:rsid w:val="00BA5698"/>
    <w:rsid w:val="00BA5A29"/>
    <w:rsid w:val="00BA667A"/>
    <w:rsid w:val="00BA6A57"/>
    <w:rsid w:val="00BA6C3F"/>
    <w:rsid w:val="00BA7649"/>
    <w:rsid w:val="00BA7B64"/>
    <w:rsid w:val="00BB00E2"/>
    <w:rsid w:val="00BB0469"/>
    <w:rsid w:val="00BB069D"/>
    <w:rsid w:val="00BB08DB"/>
    <w:rsid w:val="00BB094C"/>
    <w:rsid w:val="00BB0CA1"/>
    <w:rsid w:val="00BB103A"/>
    <w:rsid w:val="00BB1376"/>
    <w:rsid w:val="00BB1921"/>
    <w:rsid w:val="00BB1CD5"/>
    <w:rsid w:val="00BB256C"/>
    <w:rsid w:val="00BB26E4"/>
    <w:rsid w:val="00BB27C3"/>
    <w:rsid w:val="00BB32F5"/>
    <w:rsid w:val="00BB3574"/>
    <w:rsid w:val="00BB3700"/>
    <w:rsid w:val="00BB3831"/>
    <w:rsid w:val="00BB52ED"/>
    <w:rsid w:val="00BB5405"/>
    <w:rsid w:val="00BB5FBE"/>
    <w:rsid w:val="00BB603C"/>
    <w:rsid w:val="00BB680C"/>
    <w:rsid w:val="00BB7B52"/>
    <w:rsid w:val="00BC0C31"/>
    <w:rsid w:val="00BC0EBB"/>
    <w:rsid w:val="00BC1166"/>
    <w:rsid w:val="00BC19F4"/>
    <w:rsid w:val="00BC1D05"/>
    <w:rsid w:val="00BC1D66"/>
    <w:rsid w:val="00BC27F2"/>
    <w:rsid w:val="00BC29B3"/>
    <w:rsid w:val="00BC35E9"/>
    <w:rsid w:val="00BC3DBA"/>
    <w:rsid w:val="00BC3E2B"/>
    <w:rsid w:val="00BC3FA5"/>
    <w:rsid w:val="00BC4132"/>
    <w:rsid w:val="00BC4373"/>
    <w:rsid w:val="00BC45DE"/>
    <w:rsid w:val="00BC4B19"/>
    <w:rsid w:val="00BC5402"/>
    <w:rsid w:val="00BC593D"/>
    <w:rsid w:val="00BC59FA"/>
    <w:rsid w:val="00BC5CBD"/>
    <w:rsid w:val="00BC6141"/>
    <w:rsid w:val="00BC6715"/>
    <w:rsid w:val="00BC67FB"/>
    <w:rsid w:val="00BC6BD9"/>
    <w:rsid w:val="00BC6FDB"/>
    <w:rsid w:val="00BC722E"/>
    <w:rsid w:val="00BC75FC"/>
    <w:rsid w:val="00BC7EC3"/>
    <w:rsid w:val="00BD020B"/>
    <w:rsid w:val="00BD04DA"/>
    <w:rsid w:val="00BD09CB"/>
    <w:rsid w:val="00BD0B3B"/>
    <w:rsid w:val="00BD0DB3"/>
    <w:rsid w:val="00BD1DD5"/>
    <w:rsid w:val="00BD2B37"/>
    <w:rsid w:val="00BD2F66"/>
    <w:rsid w:val="00BD3A1D"/>
    <w:rsid w:val="00BD43B8"/>
    <w:rsid w:val="00BD5C8E"/>
    <w:rsid w:val="00BD5DBC"/>
    <w:rsid w:val="00BD65EB"/>
    <w:rsid w:val="00BD6E6F"/>
    <w:rsid w:val="00BE0A34"/>
    <w:rsid w:val="00BE0FB9"/>
    <w:rsid w:val="00BE1158"/>
    <w:rsid w:val="00BE12A5"/>
    <w:rsid w:val="00BE1AF5"/>
    <w:rsid w:val="00BE1C6C"/>
    <w:rsid w:val="00BE23E9"/>
    <w:rsid w:val="00BE2F71"/>
    <w:rsid w:val="00BE2F7A"/>
    <w:rsid w:val="00BE3A98"/>
    <w:rsid w:val="00BE3CE6"/>
    <w:rsid w:val="00BE3E37"/>
    <w:rsid w:val="00BE3EA3"/>
    <w:rsid w:val="00BE4333"/>
    <w:rsid w:val="00BE4DE4"/>
    <w:rsid w:val="00BE5716"/>
    <w:rsid w:val="00BE5DFC"/>
    <w:rsid w:val="00BE6364"/>
    <w:rsid w:val="00BE645A"/>
    <w:rsid w:val="00BE664A"/>
    <w:rsid w:val="00BE670C"/>
    <w:rsid w:val="00BE6BC7"/>
    <w:rsid w:val="00BF007F"/>
    <w:rsid w:val="00BF0DCA"/>
    <w:rsid w:val="00BF1003"/>
    <w:rsid w:val="00BF113F"/>
    <w:rsid w:val="00BF1623"/>
    <w:rsid w:val="00BF16D9"/>
    <w:rsid w:val="00BF2338"/>
    <w:rsid w:val="00BF24ED"/>
    <w:rsid w:val="00BF260C"/>
    <w:rsid w:val="00BF284E"/>
    <w:rsid w:val="00BF2947"/>
    <w:rsid w:val="00BF2987"/>
    <w:rsid w:val="00BF2E56"/>
    <w:rsid w:val="00BF2E90"/>
    <w:rsid w:val="00BF376B"/>
    <w:rsid w:val="00BF3F4F"/>
    <w:rsid w:val="00BF3FDA"/>
    <w:rsid w:val="00BF415F"/>
    <w:rsid w:val="00BF448D"/>
    <w:rsid w:val="00BF536E"/>
    <w:rsid w:val="00BF539D"/>
    <w:rsid w:val="00BF545F"/>
    <w:rsid w:val="00BF631F"/>
    <w:rsid w:val="00BF6440"/>
    <w:rsid w:val="00BF72C7"/>
    <w:rsid w:val="00BF79F0"/>
    <w:rsid w:val="00BF7F47"/>
    <w:rsid w:val="00C002EC"/>
    <w:rsid w:val="00C011FE"/>
    <w:rsid w:val="00C01A5E"/>
    <w:rsid w:val="00C02628"/>
    <w:rsid w:val="00C03955"/>
    <w:rsid w:val="00C03AC2"/>
    <w:rsid w:val="00C044F2"/>
    <w:rsid w:val="00C04A5D"/>
    <w:rsid w:val="00C04E0A"/>
    <w:rsid w:val="00C05314"/>
    <w:rsid w:val="00C053AB"/>
    <w:rsid w:val="00C0565A"/>
    <w:rsid w:val="00C05972"/>
    <w:rsid w:val="00C060DC"/>
    <w:rsid w:val="00C068EA"/>
    <w:rsid w:val="00C06ADF"/>
    <w:rsid w:val="00C06EC6"/>
    <w:rsid w:val="00C0766C"/>
    <w:rsid w:val="00C079E2"/>
    <w:rsid w:val="00C07BF2"/>
    <w:rsid w:val="00C07CE3"/>
    <w:rsid w:val="00C07E1E"/>
    <w:rsid w:val="00C10114"/>
    <w:rsid w:val="00C102EE"/>
    <w:rsid w:val="00C10564"/>
    <w:rsid w:val="00C10626"/>
    <w:rsid w:val="00C108CA"/>
    <w:rsid w:val="00C1097B"/>
    <w:rsid w:val="00C10E53"/>
    <w:rsid w:val="00C10E95"/>
    <w:rsid w:val="00C10FCD"/>
    <w:rsid w:val="00C1155B"/>
    <w:rsid w:val="00C11E6B"/>
    <w:rsid w:val="00C12C9F"/>
    <w:rsid w:val="00C13D06"/>
    <w:rsid w:val="00C1457D"/>
    <w:rsid w:val="00C14C82"/>
    <w:rsid w:val="00C16432"/>
    <w:rsid w:val="00C167C0"/>
    <w:rsid w:val="00C1710D"/>
    <w:rsid w:val="00C176C9"/>
    <w:rsid w:val="00C17EC8"/>
    <w:rsid w:val="00C2004D"/>
    <w:rsid w:val="00C20BB6"/>
    <w:rsid w:val="00C210BC"/>
    <w:rsid w:val="00C2158D"/>
    <w:rsid w:val="00C2167C"/>
    <w:rsid w:val="00C21810"/>
    <w:rsid w:val="00C22207"/>
    <w:rsid w:val="00C22692"/>
    <w:rsid w:val="00C22C3D"/>
    <w:rsid w:val="00C23610"/>
    <w:rsid w:val="00C23C68"/>
    <w:rsid w:val="00C23CD8"/>
    <w:rsid w:val="00C23DBF"/>
    <w:rsid w:val="00C23FBD"/>
    <w:rsid w:val="00C24054"/>
    <w:rsid w:val="00C24A85"/>
    <w:rsid w:val="00C24A98"/>
    <w:rsid w:val="00C250C5"/>
    <w:rsid w:val="00C255F9"/>
    <w:rsid w:val="00C25613"/>
    <w:rsid w:val="00C2561D"/>
    <w:rsid w:val="00C262A2"/>
    <w:rsid w:val="00C26461"/>
    <w:rsid w:val="00C26A9D"/>
    <w:rsid w:val="00C27C10"/>
    <w:rsid w:val="00C27DB0"/>
    <w:rsid w:val="00C302AC"/>
    <w:rsid w:val="00C319B8"/>
    <w:rsid w:val="00C32590"/>
    <w:rsid w:val="00C33396"/>
    <w:rsid w:val="00C34366"/>
    <w:rsid w:val="00C348BD"/>
    <w:rsid w:val="00C349C8"/>
    <w:rsid w:val="00C35D6C"/>
    <w:rsid w:val="00C36CDC"/>
    <w:rsid w:val="00C375D3"/>
    <w:rsid w:val="00C40BAA"/>
    <w:rsid w:val="00C415B8"/>
    <w:rsid w:val="00C41967"/>
    <w:rsid w:val="00C41C61"/>
    <w:rsid w:val="00C41D7F"/>
    <w:rsid w:val="00C41DA1"/>
    <w:rsid w:val="00C4207B"/>
    <w:rsid w:val="00C42225"/>
    <w:rsid w:val="00C427B6"/>
    <w:rsid w:val="00C42F19"/>
    <w:rsid w:val="00C432A8"/>
    <w:rsid w:val="00C43571"/>
    <w:rsid w:val="00C435FF"/>
    <w:rsid w:val="00C44A88"/>
    <w:rsid w:val="00C44B57"/>
    <w:rsid w:val="00C45538"/>
    <w:rsid w:val="00C45B7C"/>
    <w:rsid w:val="00C46889"/>
    <w:rsid w:val="00C468D2"/>
    <w:rsid w:val="00C46D69"/>
    <w:rsid w:val="00C471F7"/>
    <w:rsid w:val="00C47638"/>
    <w:rsid w:val="00C508AC"/>
    <w:rsid w:val="00C513B8"/>
    <w:rsid w:val="00C51E5B"/>
    <w:rsid w:val="00C52888"/>
    <w:rsid w:val="00C52B57"/>
    <w:rsid w:val="00C52D10"/>
    <w:rsid w:val="00C5353E"/>
    <w:rsid w:val="00C5380C"/>
    <w:rsid w:val="00C5398D"/>
    <w:rsid w:val="00C539E9"/>
    <w:rsid w:val="00C53AAE"/>
    <w:rsid w:val="00C53B2A"/>
    <w:rsid w:val="00C53EA6"/>
    <w:rsid w:val="00C54096"/>
    <w:rsid w:val="00C54295"/>
    <w:rsid w:val="00C543B5"/>
    <w:rsid w:val="00C54B91"/>
    <w:rsid w:val="00C54BBB"/>
    <w:rsid w:val="00C54EB7"/>
    <w:rsid w:val="00C55DFA"/>
    <w:rsid w:val="00C5764D"/>
    <w:rsid w:val="00C6032C"/>
    <w:rsid w:val="00C60E37"/>
    <w:rsid w:val="00C60FDC"/>
    <w:rsid w:val="00C615B5"/>
    <w:rsid w:val="00C618A0"/>
    <w:rsid w:val="00C61FB1"/>
    <w:rsid w:val="00C627BE"/>
    <w:rsid w:val="00C627D2"/>
    <w:rsid w:val="00C62EE6"/>
    <w:rsid w:val="00C640AC"/>
    <w:rsid w:val="00C64746"/>
    <w:rsid w:val="00C64B3B"/>
    <w:rsid w:val="00C64C69"/>
    <w:rsid w:val="00C64DEA"/>
    <w:rsid w:val="00C64E08"/>
    <w:rsid w:val="00C655B7"/>
    <w:rsid w:val="00C656E9"/>
    <w:rsid w:val="00C658DC"/>
    <w:rsid w:val="00C65CFA"/>
    <w:rsid w:val="00C660E5"/>
    <w:rsid w:val="00C66A9C"/>
    <w:rsid w:val="00C67BC4"/>
    <w:rsid w:val="00C67ED7"/>
    <w:rsid w:val="00C70387"/>
    <w:rsid w:val="00C70449"/>
    <w:rsid w:val="00C70651"/>
    <w:rsid w:val="00C7179E"/>
    <w:rsid w:val="00C71A50"/>
    <w:rsid w:val="00C72DA8"/>
    <w:rsid w:val="00C744BC"/>
    <w:rsid w:val="00C746FA"/>
    <w:rsid w:val="00C74C54"/>
    <w:rsid w:val="00C75447"/>
    <w:rsid w:val="00C756F7"/>
    <w:rsid w:val="00C7571F"/>
    <w:rsid w:val="00C7572C"/>
    <w:rsid w:val="00C75CE3"/>
    <w:rsid w:val="00C75ECE"/>
    <w:rsid w:val="00C7601E"/>
    <w:rsid w:val="00C761F2"/>
    <w:rsid w:val="00C77CD8"/>
    <w:rsid w:val="00C8018E"/>
    <w:rsid w:val="00C804E8"/>
    <w:rsid w:val="00C80B29"/>
    <w:rsid w:val="00C80BBC"/>
    <w:rsid w:val="00C81661"/>
    <w:rsid w:val="00C82DD9"/>
    <w:rsid w:val="00C83483"/>
    <w:rsid w:val="00C837DD"/>
    <w:rsid w:val="00C837E1"/>
    <w:rsid w:val="00C83E7E"/>
    <w:rsid w:val="00C8436D"/>
    <w:rsid w:val="00C84C93"/>
    <w:rsid w:val="00C85D52"/>
    <w:rsid w:val="00C867FE"/>
    <w:rsid w:val="00C868F1"/>
    <w:rsid w:val="00C86C4D"/>
    <w:rsid w:val="00C86F19"/>
    <w:rsid w:val="00C874F8"/>
    <w:rsid w:val="00C87F08"/>
    <w:rsid w:val="00C9049C"/>
    <w:rsid w:val="00C90AE3"/>
    <w:rsid w:val="00C912AF"/>
    <w:rsid w:val="00C919D8"/>
    <w:rsid w:val="00C92081"/>
    <w:rsid w:val="00C9222F"/>
    <w:rsid w:val="00C922B3"/>
    <w:rsid w:val="00C92314"/>
    <w:rsid w:val="00C92A63"/>
    <w:rsid w:val="00C9326B"/>
    <w:rsid w:val="00C93E1B"/>
    <w:rsid w:val="00C94077"/>
    <w:rsid w:val="00C94928"/>
    <w:rsid w:val="00C94E7A"/>
    <w:rsid w:val="00C94F74"/>
    <w:rsid w:val="00C9543A"/>
    <w:rsid w:val="00C955EE"/>
    <w:rsid w:val="00C9574E"/>
    <w:rsid w:val="00C95B76"/>
    <w:rsid w:val="00C96649"/>
    <w:rsid w:val="00C96737"/>
    <w:rsid w:val="00C96803"/>
    <w:rsid w:val="00C96E3E"/>
    <w:rsid w:val="00C979B6"/>
    <w:rsid w:val="00C97F51"/>
    <w:rsid w:val="00CA06F2"/>
    <w:rsid w:val="00CA0785"/>
    <w:rsid w:val="00CA0A9C"/>
    <w:rsid w:val="00CA1263"/>
    <w:rsid w:val="00CA1B08"/>
    <w:rsid w:val="00CA1DB5"/>
    <w:rsid w:val="00CA2129"/>
    <w:rsid w:val="00CA2225"/>
    <w:rsid w:val="00CA2E5B"/>
    <w:rsid w:val="00CA2F61"/>
    <w:rsid w:val="00CA34B1"/>
    <w:rsid w:val="00CA394B"/>
    <w:rsid w:val="00CA3FFD"/>
    <w:rsid w:val="00CA4660"/>
    <w:rsid w:val="00CA4C48"/>
    <w:rsid w:val="00CA4EDC"/>
    <w:rsid w:val="00CA4F49"/>
    <w:rsid w:val="00CA5701"/>
    <w:rsid w:val="00CA5942"/>
    <w:rsid w:val="00CA689A"/>
    <w:rsid w:val="00CA6CDC"/>
    <w:rsid w:val="00CA7020"/>
    <w:rsid w:val="00CA748E"/>
    <w:rsid w:val="00CB0602"/>
    <w:rsid w:val="00CB10AD"/>
    <w:rsid w:val="00CB1B53"/>
    <w:rsid w:val="00CB3628"/>
    <w:rsid w:val="00CB3A0C"/>
    <w:rsid w:val="00CB3AC9"/>
    <w:rsid w:val="00CB4159"/>
    <w:rsid w:val="00CB4C84"/>
    <w:rsid w:val="00CB5D0E"/>
    <w:rsid w:val="00CB5D9F"/>
    <w:rsid w:val="00CB5FD7"/>
    <w:rsid w:val="00CB63A5"/>
    <w:rsid w:val="00CB64A0"/>
    <w:rsid w:val="00CB6BCE"/>
    <w:rsid w:val="00CB7B3A"/>
    <w:rsid w:val="00CB7C29"/>
    <w:rsid w:val="00CB7D70"/>
    <w:rsid w:val="00CB7E35"/>
    <w:rsid w:val="00CB7EBE"/>
    <w:rsid w:val="00CC0C43"/>
    <w:rsid w:val="00CC0C50"/>
    <w:rsid w:val="00CC1038"/>
    <w:rsid w:val="00CC16FE"/>
    <w:rsid w:val="00CC2409"/>
    <w:rsid w:val="00CC2440"/>
    <w:rsid w:val="00CC2773"/>
    <w:rsid w:val="00CC2E9C"/>
    <w:rsid w:val="00CC319F"/>
    <w:rsid w:val="00CC31CA"/>
    <w:rsid w:val="00CC3A8F"/>
    <w:rsid w:val="00CC43C3"/>
    <w:rsid w:val="00CC462E"/>
    <w:rsid w:val="00CC4863"/>
    <w:rsid w:val="00CC4DCC"/>
    <w:rsid w:val="00CC4EF4"/>
    <w:rsid w:val="00CC5161"/>
    <w:rsid w:val="00CC663D"/>
    <w:rsid w:val="00CC68C9"/>
    <w:rsid w:val="00CC6EF2"/>
    <w:rsid w:val="00CC783F"/>
    <w:rsid w:val="00CD006B"/>
    <w:rsid w:val="00CD02A3"/>
    <w:rsid w:val="00CD058B"/>
    <w:rsid w:val="00CD0C38"/>
    <w:rsid w:val="00CD11D3"/>
    <w:rsid w:val="00CD1AFF"/>
    <w:rsid w:val="00CD1BF3"/>
    <w:rsid w:val="00CD1D4C"/>
    <w:rsid w:val="00CD2343"/>
    <w:rsid w:val="00CD302E"/>
    <w:rsid w:val="00CD3176"/>
    <w:rsid w:val="00CD346F"/>
    <w:rsid w:val="00CD37EE"/>
    <w:rsid w:val="00CD3E73"/>
    <w:rsid w:val="00CD3ED6"/>
    <w:rsid w:val="00CD3F9F"/>
    <w:rsid w:val="00CD422B"/>
    <w:rsid w:val="00CD4662"/>
    <w:rsid w:val="00CD47BF"/>
    <w:rsid w:val="00CD4F3A"/>
    <w:rsid w:val="00CD55DE"/>
    <w:rsid w:val="00CD5A56"/>
    <w:rsid w:val="00CD5F86"/>
    <w:rsid w:val="00CD6156"/>
    <w:rsid w:val="00CD6462"/>
    <w:rsid w:val="00CD65F8"/>
    <w:rsid w:val="00CD6E86"/>
    <w:rsid w:val="00CD732E"/>
    <w:rsid w:val="00CD73D4"/>
    <w:rsid w:val="00CD798E"/>
    <w:rsid w:val="00CD7B51"/>
    <w:rsid w:val="00CE01B4"/>
    <w:rsid w:val="00CE0365"/>
    <w:rsid w:val="00CE060B"/>
    <w:rsid w:val="00CE0911"/>
    <w:rsid w:val="00CE1BF8"/>
    <w:rsid w:val="00CE2140"/>
    <w:rsid w:val="00CE2B1E"/>
    <w:rsid w:val="00CE3AAF"/>
    <w:rsid w:val="00CE3DDF"/>
    <w:rsid w:val="00CE3F4B"/>
    <w:rsid w:val="00CE420C"/>
    <w:rsid w:val="00CE474D"/>
    <w:rsid w:val="00CE4911"/>
    <w:rsid w:val="00CE55E4"/>
    <w:rsid w:val="00CE590B"/>
    <w:rsid w:val="00CE5BAF"/>
    <w:rsid w:val="00CE6311"/>
    <w:rsid w:val="00CE67F9"/>
    <w:rsid w:val="00CE6E1B"/>
    <w:rsid w:val="00CE7C3B"/>
    <w:rsid w:val="00CE7C4D"/>
    <w:rsid w:val="00CF098A"/>
    <w:rsid w:val="00CF0A70"/>
    <w:rsid w:val="00CF1588"/>
    <w:rsid w:val="00CF1A43"/>
    <w:rsid w:val="00CF1B7A"/>
    <w:rsid w:val="00CF3562"/>
    <w:rsid w:val="00CF3ED6"/>
    <w:rsid w:val="00CF4509"/>
    <w:rsid w:val="00CF4610"/>
    <w:rsid w:val="00CF4945"/>
    <w:rsid w:val="00CF4C49"/>
    <w:rsid w:val="00CF4C99"/>
    <w:rsid w:val="00CF4F8C"/>
    <w:rsid w:val="00CF5444"/>
    <w:rsid w:val="00CF611F"/>
    <w:rsid w:val="00CF6477"/>
    <w:rsid w:val="00CF678B"/>
    <w:rsid w:val="00CF6C21"/>
    <w:rsid w:val="00CF6DBA"/>
    <w:rsid w:val="00CF70DE"/>
    <w:rsid w:val="00CF7620"/>
    <w:rsid w:val="00D00353"/>
    <w:rsid w:val="00D0098E"/>
    <w:rsid w:val="00D009DC"/>
    <w:rsid w:val="00D00CB0"/>
    <w:rsid w:val="00D00D6E"/>
    <w:rsid w:val="00D01002"/>
    <w:rsid w:val="00D019A6"/>
    <w:rsid w:val="00D01D6E"/>
    <w:rsid w:val="00D01E53"/>
    <w:rsid w:val="00D025D7"/>
    <w:rsid w:val="00D02986"/>
    <w:rsid w:val="00D031AC"/>
    <w:rsid w:val="00D040F4"/>
    <w:rsid w:val="00D047D3"/>
    <w:rsid w:val="00D04829"/>
    <w:rsid w:val="00D054C5"/>
    <w:rsid w:val="00D056BB"/>
    <w:rsid w:val="00D06C9F"/>
    <w:rsid w:val="00D0788A"/>
    <w:rsid w:val="00D078A3"/>
    <w:rsid w:val="00D07D2F"/>
    <w:rsid w:val="00D10656"/>
    <w:rsid w:val="00D10870"/>
    <w:rsid w:val="00D109B5"/>
    <w:rsid w:val="00D10A0B"/>
    <w:rsid w:val="00D10E22"/>
    <w:rsid w:val="00D10F62"/>
    <w:rsid w:val="00D1115D"/>
    <w:rsid w:val="00D1149E"/>
    <w:rsid w:val="00D1217A"/>
    <w:rsid w:val="00D127FE"/>
    <w:rsid w:val="00D130FC"/>
    <w:rsid w:val="00D1362F"/>
    <w:rsid w:val="00D13E61"/>
    <w:rsid w:val="00D1451A"/>
    <w:rsid w:val="00D14542"/>
    <w:rsid w:val="00D14585"/>
    <w:rsid w:val="00D14EF0"/>
    <w:rsid w:val="00D15665"/>
    <w:rsid w:val="00D158B9"/>
    <w:rsid w:val="00D15B95"/>
    <w:rsid w:val="00D16106"/>
    <w:rsid w:val="00D161CE"/>
    <w:rsid w:val="00D16455"/>
    <w:rsid w:val="00D165F0"/>
    <w:rsid w:val="00D16F04"/>
    <w:rsid w:val="00D16FFD"/>
    <w:rsid w:val="00D171D1"/>
    <w:rsid w:val="00D17A6B"/>
    <w:rsid w:val="00D204D4"/>
    <w:rsid w:val="00D20C43"/>
    <w:rsid w:val="00D20CC6"/>
    <w:rsid w:val="00D20D52"/>
    <w:rsid w:val="00D219BF"/>
    <w:rsid w:val="00D22980"/>
    <w:rsid w:val="00D22FDD"/>
    <w:rsid w:val="00D23EC9"/>
    <w:rsid w:val="00D24625"/>
    <w:rsid w:val="00D249DE"/>
    <w:rsid w:val="00D24EFC"/>
    <w:rsid w:val="00D253B3"/>
    <w:rsid w:val="00D26587"/>
    <w:rsid w:val="00D26E08"/>
    <w:rsid w:val="00D27EF7"/>
    <w:rsid w:val="00D3134F"/>
    <w:rsid w:val="00D31787"/>
    <w:rsid w:val="00D326A2"/>
    <w:rsid w:val="00D327AB"/>
    <w:rsid w:val="00D32D45"/>
    <w:rsid w:val="00D32D4B"/>
    <w:rsid w:val="00D34E39"/>
    <w:rsid w:val="00D35068"/>
    <w:rsid w:val="00D35136"/>
    <w:rsid w:val="00D35E6D"/>
    <w:rsid w:val="00D35F5E"/>
    <w:rsid w:val="00D36E55"/>
    <w:rsid w:val="00D370F8"/>
    <w:rsid w:val="00D400F4"/>
    <w:rsid w:val="00D404CB"/>
    <w:rsid w:val="00D40963"/>
    <w:rsid w:val="00D40C5B"/>
    <w:rsid w:val="00D415DD"/>
    <w:rsid w:val="00D415FA"/>
    <w:rsid w:val="00D41E6A"/>
    <w:rsid w:val="00D42C56"/>
    <w:rsid w:val="00D433A0"/>
    <w:rsid w:val="00D43E74"/>
    <w:rsid w:val="00D440BB"/>
    <w:rsid w:val="00D4481C"/>
    <w:rsid w:val="00D449F7"/>
    <w:rsid w:val="00D45047"/>
    <w:rsid w:val="00D4545A"/>
    <w:rsid w:val="00D45E59"/>
    <w:rsid w:val="00D45FD1"/>
    <w:rsid w:val="00D463BE"/>
    <w:rsid w:val="00D46472"/>
    <w:rsid w:val="00D46600"/>
    <w:rsid w:val="00D467CE"/>
    <w:rsid w:val="00D46A48"/>
    <w:rsid w:val="00D46BA6"/>
    <w:rsid w:val="00D46F5F"/>
    <w:rsid w:val="00D4720D"/>
    <w:rsid w:val="00D4726D"/>
    <w:rsid w:val="00D473D9"/>
    <w:rsid w:val="00D474EA"/>
    <w:rsid w:val="00D47D43"/>
    <w:rsid w:val="00D50777"/>
    <w:rsid w:val="00D5081D"/>
    <w:rsid w:val="00D50F27"/>
    <w:rsid w:val="00D51844"/>
    <w:rsid w:val="00D5269F"/>
    <w:rsid w:val="00D5291D"/>
    <w:rsid w:val="00D5294C"/>
    <w:rsid w:val="00D529EB"/>
    <w:rsid w:val="00D52AB2"/>
    <w:rsid w:val="00D52C4E"/>
    <w:rsid w:val="00D53470"/>
    <w:rsid w:val="00D536C8"/>
    <w:rsid w:val="00D53C3B"/>
    <w:rsid w:val="00D53C8E"/>
    <w:rsid w:val="00D53D17"/>
    <w:rsid w:val="00D53F56"/>
    <w:rsid w:val="00D540F9"/>
    <w:rsid w:val="00D54B96"/>
    <w:rsid w:val="00D54D62"/>
    <w:rsid w:val="00D55184"/>
    <w:rsid w:val="00D56218"/>
    <w:rsid w:val="00D563F3"/>
    <w:rsid w:val="00D566DC"/>
    <w:rsid w:val="00D56965"/>
    <w:rsid w:val="00D569B6"/>
    <w:rsid w:val="00D56C05"/>
    <w:rsid w:val="00D56C8E"/>
    <w:rsid w:val="00D57016"/>
    <w:rsid w:val="00D57B82"/>
    <w:rsid w:val="00D603D2"/>
    <w:rsid w:val="00D60806"/>
    <w:rsid w:val="00D60A40"/>
    <w:rsid w:val="00D60B82"/>
    <w:rsid w:val="00D60E8D"/>
    <w:rsid w:val="00D6152C"/>
    <w:rsid w:val="00D61A24"/>
    <w:rsid w:val="00D61A3C"/>
    <w:rsid w:val="00D61BE6"/>
    <w:rsid w:val="00D628EC"/>
    <w:rsid w:val="00D62BA7"/>
    <w:rsid w:val="00D62FBF"/>
    <w:rsid w:val="00D6373E"/>
    <w:rsid w:val="00D6431A"/>
    <w:rsid w:val="00D64431"/>
    <w:rsid w:val="00D655F7"/>
    <w:rsid w:val="00D66356"/>
    <w:rsid w:val="00D66459"/>
    <w:rsid w:val="00D66E7A"/>
    <w:rsid w:val="00D671FB"/>
    <w:rsid w:val="00D67848"/>
    <w:rsid w:val="00D7011F"/>
    <w:rsid w:val="00D701C7"/>
    <w:rsid w:val="00D70A36"/>
    <w:rsid w:val="00D70D43"/>
    <w:rsid w:val="00D71059"/>
    <w:rsid w:val="00D7155A"/>
    <w:rsid w:val="00D71B8E"/>
    <w:rsid w:val="00D72A61"/>
    <w:rsid w:val="00D72F64"/>
    <w:rsid w:val="00D736DD"/>
    <w:rsid w:val="00D73771"/>
    <w:rsid w:val="00D738EF"/>
    <w:rsid w:val="00D739DF"/>
    <w:rsid w:val="00D73EBA"/>
    <w:rsid w:val="00D7430A"/>
    <w:rsid w:val="00D749D6"/>
    <w:rsid w:val="00D74AC6"/>
    <w:rsid w:val="00D74ADD"/>
    <w:rsid w:val="00D74EDC"/>
    <w:rsid w:val="00D75FFF"/>
    <w:rsid w:val="00D76377"/>
    <w:rsid w:val="00D76B25"/>
    <w:rsid w:val="00D76F88"/>
    <w:rsid w:val="00D777F1"/>
    <w:rsid w:val="00D77A3C"/>
    <w:rsid w:val="00D77E31"/>
    <w:rsid w:val="00D77E65"/>
    <w:rsid w:val="00D80022"/>
    <w:rsid w:val="00D80148"/>
    <w:rsid w:val="00D80190"/>
    <w:rsid w:val="00D801A8"/>
    <w:rsid w:val="00D80EB3"/>
    <w:rsid w:val="00D8150D"/>
    <w:rsid w:val="00D816C1"/>
    <w:rsid w:val="00D81706"/>
    <w:rsid w:val="00D81B38"/>
    <w:rsid w:val="00D81D27"/>
    <w:rsid w:val="00D822A3"/>
    <w:rsid w:val="00D82397"/>
    <w:rsid w:val="00D82675"/>
    <w:rsid w:val="00D82966"/>
    <w:rsid w:val="00D83202"/>
    <w:rsid w:val="00D83A0F"/>
    <w:rsid w:val="00D84D1B"/>
    <w:rsid w:val="00D851A7"/>
    <w:rsid w:val="00D852AD"/>
    <w:rsid w:val="00D856E8"/>
    <w:rsid w:val="00D858C7"/>
    <w:rsid w:val="00D85AAF"/>
    <w:rsid w:val="00D8614F"/>
    <w:rsid w:val="00D86618"/>
    <w:rsid w:val="00D868C5"/>
    <w:rsid w:val="00D86A70"/>
    <w:rsid w:val="00D86E9E"/>
    <w:rsid w:val="00D86F0E"/>
    <w:rsid w:val="00D86FAC"/>
    <w:rsid w:val="00D876CC"/>
    <w:rsid w:val="00D90AF5"/>
    <w:rsid w:val="00D90B1B"/>
    <w:rsid w:val="00D90F44"/>
    <w:rsid w:val="00D9124E"/>
    <w:rsid w:val="00D91500"/>
    <w:rsid w:val="00D917FD"/>
    <w:rsid w:val="00D9248D"/>
    <w:rsid w:val="00D92695"/>
    <w:rsid w:val="00D929B2"/>
    <w:rsid w:val="00D933B3"/>
    <w:rsid w:val="00D933BA"/>
    <w:rsid w:val="00D93A1E"/>
    <w:rsid w:val="00D93B75"/>
    <w:rsid w:val="00D93D36"/>
    <w:rsid w:val="00D942E6"/>
    <w:rsid w:val="00D944BB"/>
    <w:rsid w:val="00D94F88"/>
    <w:rsid w:val="00D9504C"/>
    <w:rsid w:val="00D9695E"/>
    <w:rsid w:val="00D96B14"/>
    <w:rsid w:val="00D96BC4"/>
    <w:rsid w:val="00D9721D"/>
    <w:rsid w:val="00D973C0"/>
    <w:rsid w:val="00D975B0"/>
    <w:rsid w:val="00D97DDA"/>
    <w:rsid w:val="00D97E58"/>
    <w:rsid w:val="00D97E8B"/>
    <w:rsid w:val="00DA0097"/>
    <w:rsid w:val="00DA03DB"/>
    <w:rsid w:val="00DA112E"/>
    <w:rsid w:val="00DA157C"/>
    <w:rsid w:val="00DA164D"/>
    <w:rsid w:val="00DA16CA"/>
    <w:rsid w:val="00DA18F1"/>
    <w:rsid w:val="00DA284D"/>
    <w:rsid w:val="00DA30E1"/>
    <w:rsid w:val="00DA3119"/>
    <w:rsid w:val="00DA311C"/>
    <w:rsid w:val="00DA316A"/>
    <w:rsid w:val="00DA361D"/>
    <w:rsid w:val="00DA3B33"/>
    <w:rsid w:val="00DA4435"/>
    <w:rsid w:val="00DA46EE"/>
    <w:rsid w:val="00DA4A98"/>
    <w:rsid w:val="00DA4BA5"/>
    <w:rsid w:val="00DA5546"/>
    <w:rsid w:val="00DA5C72"/>
    <w:rsid w:val="00DA5D1B"/>
    <w:rsid w:val="00DA60F6"/>
    <w:rsid w:val="00DA61F3"/>
    <w:rsid w:val="00DA6B45"/>
    <w:rsid w:val="00DA6F59"/>
    <w:rsid w:val="00DA7AB2"/>
    <w:rsid w:val="00DA7B5B"/>
    <w:rsid w:val="00DA7DF9"/>
    <w:rsid w:val="00DA7E1B"/>
    <w:rsid w:val="00DB03BC"/>
    <w:rsid w:val="00DB057A"/>
    <w:rsid w:val="00DB09B5"/>
    <w:rsid w:val="00DB0AB1"/>
    <w:rsid w:val="00DB0DF6"/>
    <w:rsid w:val="00DB138E"/>
    <w:rsid w:val="00DB13EC"/>
    <w:rsid w:val="00DB172E"/>
    <w:rsid w:val="00DB1894"/>
    <w:rsid w:val="00DB287F"/>
    <w:rsid w:val="00DB296B"/>
    <w:rsid w:val="00DB3EB2"/>
    <w:rsid w:val="00DB42C9"/>
    <w:rsid w:val="00DB447C"/>
    <w:rsid w:val="00DB4C47"/>
    <w:rsid w:val="00DB54D2"/>
    <w:rsid w:val="00DB5877"/>
    <w:rsid w:val="00DB62F4"/>
    <w:rsid w:val="00DB672E"/>
    <w:rsid w:val="00DB6735"/>
    <w:rsid w:val="00DB701F"/>
    <w:rsid w:val="00DB785B"/>
    <w:rsid w:val="00DB7CD5"/>
    <w:rsid w:val="00DB7EB0"/>
    <w:rsid w:val="00DC0806"/>
    <w:rsid w:val="00DC1658"/>
    <w:rsid w:val="00DC1E38"/>
    <w:rsid w:val="00DC2307"/>
    <w:rsid w:val="00DC2533"/>
    <w:rsid w:val="00DC26F8"/>
    <w:rsid w:val="00DC3324"/>
    <w:rsid w:val="00DC3862"/>
    <w:rsid w:val="00DC3AF4"/>
    <w:rsid w:val="00DC3BB2"/>
    <w:rsid w:val="00DC3D4C"/>
    <w:rsid w:val="00DC516C"/>
    <w:rsid w:val="00DC518D"/>
    <w:rsid w:val="00DC58D2"/>
    <w:rsid w:val="00DC637A"/>
    <w:rsid w:val="00DC63D1"/>
    <w:rsid w:val="00DC685F"/>
    <w:rsid w:val="00DC6FE6"/>
    <w:rsid w:val="00DC79C2"/>
    <w:rsid w:val="00DD0830"/>
    <w:rsid w:val="00DD0B19"/>
    <w:rsid w:val="00DD1EED"/>
    <w:rsid w:val="00DD2134"/>
    <w:rsid w:val="00DD249D"/>
    <w:rsid w:val="00DD260A"/>
    <w:rsid w:val="00DD3E67"/>
    <w:rsid w:val="00DD4AC2"/>
    <w:rsid w:val="00DD53FC"/>
    <w:rsid w:val="00DD5876"/>
    <w:rsid w:val="00DD66F7"/>
    <w:rsid w:val="00DD6AA2"/>
    <w:rsid w:val="00DD6C7D"/>
    <w:rsid w:val="00DD6D13"/>
    <w:rsid w:val="00DD6EEE"/>
    <w:rsid w:val="00DD7386"/>
    <w:rsid w:val="00DD74A4"/>
    <w:rsid w:val="00DD77DF"/>
    <w:rsid w:val="00DD7812"/>
    <w:rsid w:val="00DD7862"/>
    <w:rsid w:val="00DE00C3"/>
    <w:rsid w:val="00DE0564"/>
    <w:rsid w:val="00DE0590"/>
    <w:rsid w:val="00DE0611"/>
    <w:rsid w:val="00DE0755"/>
    <w:rsid w:val="00DE0A77"/>
    <w:rsid w:val="00DE0DCC"/>
    <w:rsid w:val="00DE0FE7"/>
    <w:rsid w:val="00DE13AD"/>
    <w:rsid w:val="00DE17D1"/>
    <w:rsid w:val="00DE1C49"/>
    <w:rsid w:val="00DE28F8"/>
    <w:rsid w:val="00DE2DE2"/>
    <w:rsid w:val="00DE38E8"/>
    <w:rsid w:val="00DE393E"/>
    <w:rsid w:val="00DE4308"/>
    <w:rsid w:val="00DE43B2"/>
    <w:rsid w:val="00DE4536"/>
    <w:rsid w:val="00DE46B5"/>
    <w:rsid w:val="00DE4ABD"/>
    <w:rsid w:val="00DE4FDD"/>
    <w:rsid w:val="00DE57D7"/>
    <w:rsid w:val="00DE5D82"/>
    <w:rsid w:val="00DE6674"/>
    <w:rsid w:val="00DE6760"/>
    <w:rsid w:val="00DE6ADD"/>
    <w:rsid w:val="00DE6C0D"/>
    <w:rsid w:val="00DE6D30"/>
    <w:rsid w:val="00DE6F10"/>
    <w:rsid w:val="00DE7378"/>
    <w:rsid w:val="00DE7579"/>
    <w:rsid w:val="00DE7776"/>
    <w:rsid w:val="00DF04B4"/>
    <w:rsid w:val="00DF1354"/>
    <w:rsid w:val="00DF1712"/>
    <w:rsid w:val="00DF1A65"/>
    <w:rsid w:val="00DF1B96"/>
    <w:rsid w:val="00DF1F12"/>
    <w:rsid w:val="00DF1FE5"/>
    <w:rsid w:val="00DF20C2"/>
    <w:rsid w:val="00DF2376"/>
    <w:rsid w:val="00DF2952"/>
    <w:rsid w:val="00DF387F"/>
    <w:rsid w:val="00DF3AB8"/>
    <w:rsid w:val="00DF3DF0"/>
    <w:rsid w:val="00DF43DA"/>
    <w:rsid w:val="00DF4A68"/>
    <w:rsid w:val="00DF4CD5"/>
    <w:rsid w:val="00DF5771"/>
    <w:rsid w:val="00DF6F12"/>
    <w:rsid w:val="00DF7567"/>
    <w:rsid w:val="00DF7A93"/>
    <w:rsid w:val="00DF7F06"/>
    <w:rsid w:val="00E0029E"/>
    <w:rsid w:val="00E00664"/>
    <w:rsid w:val="00E01052"/>
    <w:rsid w:val="00E01901"/>
    <w:rsid w:val="00E01C9B"/>
    <w:rsid w:val="00E01F9F"/>
    <w:rsid w:val="00E0265F"/>
    <w:rsid w:val="00E02CF8"/>
    <w:rsid w:val="00E02DE7"/>
    <w:rsid w:val="00E03291"/>
    <w:rsid w:val="00E032B5"/>
    <w:rsid w:val="00E03369"/>
    <w:rsid w:val="00E043BD"/>
    <w:rsid w:val="00E04534"/>
    <w:rsid w:val="00E04552"/>
    <w:rsid w:val="00E0477B"/>
    <w:rsid w:val="00E04891"/>
    <w:rsid w:val="00E04952"/>
    <w:rsid w:val="00E04A9E"/>
    <w:rsid w:val="00E050BD"/>
    <w:rsid w:val="00E051E6"/>
    <w:rsid w:val="00E0558D"/>
    <w:rsid w:val="00E05D6B"/>
    <w:rsid w:val="00E06025"/>
    <w:rsid w:val="00E064E3"/>
    <w:rsid w:val="00E06509"/>
    <w:rsid w:val="00E06547"/>
    <w:rsid w:val="00E0663C"/>
    <w:rsid w:val="00E06709"/>
    <w:rsid w:val="00E06DA3"/>
    <w:rsid w:val="00E06FE1"/>
    <w:rsid w:val="00E070F4"/>
    <w:rsid w:val="00E07532"/>
    <w:rsid w:val="00E07641"/>
    <w:rsid w:val="00E1013A"/>
    <w:rsid w:val="00E10610"/>
    <w:rsid w:val="00E106AD"/>
    <w:rsid w:val="00E10FBA"/>
    <w:rsid w:val="00E112DD"/>
    <w:rsid w:val="00E1198A"/>
    <w:rsid w:val="00E11ACD"/>
    <w:rsid w:val="00E11C7E"/>
    <w:rsid w:val="00E11E6D"/>
    <w:rsid w:val="00E1278E"/>
    <w:rsid w:val="00E127EA"/>
    <w:rsid w:val="00E12E90"/>
    <w:rsid w:val="00E131E5"/>
    <w:rsid w:val="00E1340B"/>
    <w:rsid w:val="00E135C1"/>
    <w:rsid w:val="00E13813"/>
    <w:rsid w:val="00E13900"/>
    <w:rsid w:val="00E1444F"/>
    <w:rsid w:val="00E144FC"/>
    <w:rsid w:val="00E1468E"/>
    <w:rsid w:val="00E147A9"/>
    <w:rsid w:val="00E152A8"/>
    <w:rsid w:val="00E153C8"/>
    <w:rsid w:val="00E15CAF"/>
    <w:rsid w:val="00E16DB4"/>
    <w:rsid w:val="00E1706D"/>
    <w:rsid w:val="00E171AF"/>
    <w:rsid w:val="00E17FF3"/>
    <w:rsid w:val="00E20746"/>
    <w:rsid w:val="00E2090C"/>
    <w:rsid w:val="00E21686"/>
    <w:rsid w:val="00E21E1A"/>
    <w:rsid w:val="00E21EBB"/>
    <w:rsid w:val="00E22509"/>
    <w:rsid w:val="00E22EC4"/>
    <w:rsid w:val="00E24BD7"/>
    <w:rsid w:val="00E252CF"/>
    <w:rsid w:val="00E259D5"/>
    <w:rsid w:val="00E26296"/>
    <w:rsid w:val="00E262B1"/>
    <w:rsid w:val="00E26A83"/>
    <w:rsid w:val="00E2700B"/>
    <w:rsid w:val="00E2757E"/>
    <w:rsid w:val="00E276C6"/>
    <w:rsid w:val="00E27BE0"/>
    <w:rsid w:val="00E27E35"/>
    <w:rsid w:val="00E3021E"/>
    <w:rsid w:val="00E30584"/>
    <w:rsid w:val="00E316AB"/>
    <w:rsid w:val="00E31CF8"/>
    <w:rsid w:val="00E3227F"/>
    <w:rsid w:val="00E3266D"/>
    <w:rsid w:val="00E32807"/>
    <w:rsid w:val="00E32C51"/>
    <w:rsid w:val="00E33D28"/>
    <w:rsid w:val="00E34170"/>
    <w:rsid w:val="00E34D43"/>
    <w:rsid w:val="00E35702"/>
    <w:rsid w:val="00E361D3"/>
    <w:rsid w:val="00E368A0"/>
    <w:rsid w:val="00E3753A"/>
    <w:rsid w:val="00E377CB"/>
    <w:rsid w:val="00E37FE7"/>
    <w:rsid w:val="00E4073E"/>
    <w:rsid w:val="00E40D31"/>
    <w:rsid w:val="00E40FD4"/>
    <w:rsid w:val="00E410AC"/>
    <w:rsid w:val="00E4111E"/>
    <w:rsid w:val="00E4162C"/>
    <w:rsid w:val="00E41743"/>
    <w:rsid w:val="00E41A92"/>
    <w:rsid w:val="00E42080"/>
    <w:rsid w:val="00E42F3D"/>
    <w:rsid w:val="00E43621"/>
    <w:rsid w:val="00E43A6A"/>
    <w:rsid w:val="00E43B85"/>
    <w:rsid w:val="00E43BA5"/>
    <w:rsid w:val="00E43DDB"/>
    <w:rsid w:val="00E44F5B"/>
    <w:rsid w:val="00E4519E"/>
    <w:rsid w:val="00E45415"/>
    <w:rsid w:val="00E457A5"/>
    <w:rsid w:val="00E45DC6"/>
    <w:rsid w:val="00E462BE"/>
    <w:rsid w:val="00E463AE"/>
    <w:rsid w:val="00E466AE"/>
    <w:rsid w:val="00E46E46"/>
    <w:rsid w:val="00E47410"/>
    <w:rsid w:val="00E4793D"/>
    <w:rsid w:val="00E47E64"/>
    <w:rsid w:val="00E503B6"/>
    <w:rsid w:val="00E50801"/>
    <w:rsid w:val="00E50826"/>
    <w:rsid w:val="00E50857"/>
    <w:rsid w:val="00E5099F"/>
    <w:rsid w:val="00E50B52"/>
    <w:rsid w:val="00E50FC2"/>
    <w:rsid w:val="00E51265"/>
    <w:rsid w:val="00E5144A"/>
    <w:rsid w:val="00E51C74"/>
    <w:rsid w:val="00E52FED"/>
    <w:rsid w:val="00E533AC"/>
    <w:rsid w:val="00E5414F"/>
    <w:rsid w:val="00E54519"/>
    <w:rsid w:val="00E546D9"/>
    <w:rsid w:val="00E55509"/>
    <w:rsid w:val="00E556C7"/>
    <w:rsid w:val="00E5771C"/>
    <w:rsid w:val="00E577DA"/>
    <w:rsid w:val="00E57DC5"/>
    <w:rsid w:val="00E57E6C"/>
    <w:rsid w:val="00E6017E"/>
    <w:rsid w:val="00E613D2"/>
    <w:rsid w:val="00E613F6"/>
    <w:rsid w:val="00E61530"/>
    <w:rsid w:val="00E621C1"/>
    <w:rsid w:val="00E62625"/>
    <w:rsid w:val="00E629D4"/>
    <w:rsid w:val="00E62E82"/>
    <w:rsid w:val="00E62E84"/>
    <w:rsid w:val="00E63171"/>
    <w:rsid w:val="00E633DB"/>
    <w:rsid w:val="00E635D0"/>
    <w:rsid w:val="00E63611"/>
    <w:rsid w:val="00E65688"/>
    <w:rsid w:val="00E6585C"/>
    <w:rsid w:val="00E65EA1"/>
    <w:rsid w:val="00E6642A"/>
    <w:rsid w:val="00E6662E"/>
    <w:rsid w:val="00E676AF"/>
    <w:rsid w:val="00E67F63"/>
    <w:rsid w:val="00E6825F"/>
    <w:rsid w:val="00E708D7"/>
    <w:rsid w:val="00E70916"/>
    <w:rsid w:val="00E7276A"/>
    <w:rsid w:val="00E72BB7"/>
    <w:rsid w:val="00E72FBF"/>
    <w:rsid w:val="00E734D0"/>
    <w:rsid w:val="00E734F8"/>
    <w:rsid w:val="00E737D1"/>
    <w:rsid w:val="00E73B53"/>
    <w:rsid w:val="00E742F0"/>
    <w:rsid w:val="00E74C23"/>
    <w:rsid w:val="00E74F00"/>
    <w:rsid w:val="00E7602E"/>
    <w:rsid w:val="00E76A4E"/>
    <w:rsid w:val="00E76B8C"/>
    <w:rsid w:val="00E770F9"/>
    <w:rsid w:val="00E77376"/>
    <w:rsid w:val="00E7793A"/>
    <w:rsid w:val="00E77EC2"/>
    <w:rsid w:val="00E77FCC"/>
    <w:rsid w:val="00E80528"/>
    <w:rsid w:val="00E80E27"/>
    <w:rsid w:val="00E814BB"/>
    <w:rsid w:val="00E8276C"/>
    <w:rsid w:val="00E82B37"/>
    <w:rsid w:val="00E82FC4"/>
    <w:rsid w:val="00E83419"/>
    <w:rsid w:val="00E8384C"/>
    <w:rsid w:val="00E838D9"/>
    <w:rsid w:val="00E8390B"/>
    <w:rsid w:val="00E83E7A"/>
    <w:rsid w:val="00E83F71"/>
    <w:rsid w:val="00E84E86"/>
    <w:rsid w:val="00E85209"/>
    <w:rsid w:val="00E85DF0"/>
    <w:rsid w:val="00E867B6"/>
    <w:rsid w:val="00E87B08"/>
    <w:rsid w:val="00E87E1E"/>
    <w:rsid w:val="00E90574"/>
    <w:rsid w:val="00E90DF5"/>
    <w:rsid w:val="00E90F37"/>
    <w:rsid w:val="00E910C8"/>
    <w:rsid w:val="00E910F3"/>
    <w:rsid w:val="00E91532"/>
    <w:rsid w:val="00E91E5C"/>
    <w:rsid w:val="00E91F59"/>
    <w:rsid w:val="00E921B2"/>
    <w:rsid w:val="00E922D5"/>
    <w:rsid w:val="00E9232B"/>
    <w:rsid w:val="00E92F1F"/>
    <w:rsid w:val="00E93FF6"/>
    <w:rsid w:val="00E940FD"/>
    <w:rsid w:val="00E9435E"/>
    <w:rsid w:val="00E94454"/>
    <w:rsid w:val="00E94790"/>
    <w:rsid w:val="00E9602D"/>
    <w:rsid w:val="00E9651F"/>
    <w:rsid w:val="00E9655B"/>
    <w:rsid w:val="00E9671C"/>
    <w:rsid w:val="00E96DA6"/>
    <w:rsid w:val="00E97006"/>
    <w:rsid w:val="00E976D7"/>
    <w:rsid w:val="00E97BE7"/>
    <w:rsid w:val="00E97F1E"/>
    <w:rsid w:val="00EA09A5"/>
    <w:rsid w:val="00EA0E58"/>
    <w:rsid w:val="00EA1392"/>
    <w:rsid w:val="00EA1ABF"/>
    <w:rsid w:val="00EA23C7"/>
    <w:rsid w:val="00EA25BB"/>
    <w:rsid w:val="00EA2A5B"/>
    <w:rsid w:val="00EA2E04"/>
    <w:rsid w:val="00EA3026"/>
    <w:rsid w:val="00EA30F3"/>
    <w:rsid w:val="00EA32FD"/>
    <w:rsid w:val="00EA3457"/>
    <w:rsid w:val="00EA3AEA"/>
    <w:rsid w:val="00EA3B42"/>
    <w:rsid w:val="00EA3BE0"/>
    <w:rsid w:val="00EA3D00"/>
    <w:rsid w:val="00EA4119"/>
    <w:rsid w:val="00EA4C7C"/>
    <w:rsid w:val="00EA50F1"/>
    <w:rsid w:val="00EA5507"/>
    <w:rsid w:val="00EA5D5F"/>
    <w:rsid w:val="00EA6EE3"/>
    <w:rsid w:val="00EA6F83"/>
    <w:rsid w:val="00EA7E74"/>
    <w:rsid w:val="00EB11C5"/>
    <w:rsid w:val="00EB16D1"/>
    <w:rsid w:val="00EB175B"/>
    <w:rsid w:val="00EB189D"/>
    <w:rsid w:val="00EB18C9"/>
    <w:rsid w:val="00EB1BB7"/>
    <w:rsid w:val="00EB1C3B"/>
    <w:rsid w:val="00EB1F49"/>
    <w:rsid w:val="00EB2CC4"/>
    <w:rsid w:val="00EB2D71"/>
    <w:rsid w:val="00EB30F4"/>
    <w:rsid w:val="00EB3B4F"/>
    <w:rsid w:val="00EB4493"/>
    <w:rsid w:val="00EB57C9"/>
    <w:rsid w:val="00EB5D43"/>
    <w:rsid w:val="00EB5E38"/>
    <w:rsid w:val="00EB6138"/>
    <w:rsid w:val="00EB626A"/>
    <w:rsid w:val="00EB67CC"/>
    <w:rsid w:val="00EB68C0"/>
    <w:rsid w:val="00EB70FD"/>
    <w:rsid w:val="00EB7129"/>
    <w:rsid w:val="00EB727B"/>
    <w:rsid w:val="00EB7655"/>
    <w:rsid w:val="00EB7748"/>
    <w:rsid w:val="00EC005C"/>
    <w:rsid w:val="00EC07D8"/>
    <w:rsid w:val="00EC0A5F"/>
    <w:rsid w:val="00EC119E"/>
    <w:rsid w:val="00EC2491"/>
    <w:rsid w:val="00EC269A"/>
    <w:rsid w:val="00EC2DB7"/>
    <w:rsid w:val="00EC359B"/>
    <w:rsid w:val="00EC376F"/>
    <w:rsid w:val="00EC3852"/>
    <w:rsid w:val="00EC5635"/>
    <w:rsid w:val="00EC5637"/>
    <w:rsid w:val="00EC5CCF"/>
    <w:rsid w:val="00EC632D"/>
    <w:rsid w:val="00EC6446"/>
    <w:rsid w:val="00EC77AC"/>
    <w:rsid w:val="00EC7806"/>
    <w:rsid w:val="00EC78AE"/>
    <w:rsid w:val="00ED0051"/>
    <w:rsid w:val="00ED021E"/>
    <w:rsid w:val="00ED05AD"/>
    <w:rsid w:val="00ED0925"/>
    <w:rsid w:val="00ED0A72"/>
    <w:rsid w:val="00ED0AB9"/>
    <w:rsid w:val="00ED10EE"/>
    <w:rsid w:val="00ED1102"/>
    <w:rsid w:val="00ED12DD"/>
    <w:rsid w:val="00ED13B3"/>
    <w:rsid w:val="00ED182C"/>
    <w:rsid w:val="00ED28A4"/>
    <w:rsid w:val="00ED336C"/>
    <w:rsid w:val="00ED450D"/>
    <w:rsid w:val="00ED47DA"/>
    <w:rsid w:val="00ED5222"/>
    <w:rsid w:val="00ED6C36"/>
    <w:rsid w:val="00ED6D3E"/>
    <w:rsid w:val="00ED6FA7"/>
    <w:rsid w:val="00ED7A79"/>
    <w:rsid w:val="00EE05C9"/>
    <w:rsid w:val="00EE0BDF"/>
    <w:rsid w:val="00EE226F"/>
    <w:rsid w:val="00EE296E"/>
    <w:rsid w:val="00EE30B5"/>
    <w:rsid w:val="00EE329D"/>
    <w:rsid w:val="00EE41E3"/>
    <w:rsid w:val="00EE43B0"/>
    <w:rsid w:val="00EE4EA6"/>
    <w:rsid w:val="00EE5663"/>
    <w:rsid w:val="00EE63F3"/>
    <w:rsid w:val="00EE6F9E"/>
    <w:rsid w:val="00EE772F"/>
    <w:rsid w:val="00EE778D"/>
    <w:rsid w:val="00EED05C"/>
    <w:rsid w:val="00EF01E9"/>
    <w:rsid w:val="00EF06AE"/>
    <w:rsid w:val="00EF08CA"/>
    <w:rsid w:val="00EF0B94"/>
    <w:rsid w:val="00EF0D69"/>
    <w:rsid w:val="00EF134B"/>
    <w:rsid w:val="00EF1429"/>
    <w:rsid w:val="00EF1E0F"/>
    <w:rsid w:val="00EF20F6"/>
    <w:rsid w:val="00EF2D48"/>
    <w:rsid w:val="00EF3436"/>
    <w:rsid w:val="00EF3C93"/>
    <w:rsid w:val="00EF3E9B"/>
    <w:rsid w:val="00EF4232"/>
    <w:rsid w:val="00EF4365"/>
    <w:rsid w:val="00EF473B"/>
    <w:rsid w:val="00EF4B87"/>
    <w:rsid w:val="00EF4DFD"/>
    <w:rsid w:val="00EF4E4C"/>
    <w:rsid w:val="00EF5005"/>
    <w:rsid w:val="00EF5273"/>
    <w:rsid w:val="00EF52D3"/>
    <w:rsid w:val="00EF5572"/>
    <w:rsid w:val="00EF65FA"/>
    <w:rsid w:val="00EF6ADE"/>
    <w:rsid w:val="00EF70F0"/>
    <w:rsid w:val="00EF7AAA"/>
    <w:rsid w:val="00EF7C88"/>
    <w:rsid w:val="00F0040E"/>
    <w:rsid w:val="00F00AAB"/>
    <w:rsid w:val="00F00CB7"/>
    <w:rsid w:val="00F01413"/>
    <w:rsid w:val="00F018D3"/>
    <w:rsid w:val="00F01C79"/>
    <w:rsid w:val="00F01FA9"/>
    <w:rsid w:val="00F027FB"/>
    <w:rsid w:val="00F0281F"/>
    <w:rsid w:val="00F02970"/>
    <w:rsid w:val="00F029C9"/>
    <w:rsid w:val="00F02E7C"/>
    <w:rsid w:val="00F03445"/>
    <w:rsid w:val="00F04246"/>
    <w:rsid w:val="00F044D7"/>
    <w:rsid w:val="00F04EF1"/>
    <w:rsid w:val="00F0520C"/>
    <w:rsid w:val="00F05328"/>
    <w:rsid w:val="00F05A85"/>
    <w:rsid w:val="00F063AF"/>
    <w:rsid w:val="00F0651A"/>
    <w:rsid w:val="00F06F70"/>
    <w:rsid w:val="00F06FDC"/>
    <w:rsid w:val="00F073D6"/>
    <w:rsid w:val="00F073EA"/>
    <w:rsid w:val="00F078C4"/>
    <w:rsid w:val="00F07EF6"/>
    <w:rsid w:val="00F107AC"/>
    <w:rsid w:val="00F1147F"/>
    <w:rsid w:val="00F11DC0"/>
    <w:rsid w:val="00F1268A"/>
    <w:rsid w:val="00F1276E"/>
    <w:rsid w:val="00F12BFD"/>
    <w:rsid w:val="00F12D1E"/>
    <w:rsid w:val="00F12F8B"/>
    <w:rsid w:val="00F13663"/>
    <w:rsid w:val="00F154D9"/>
    <w:rsid w:val="00F15602"/>
    <w:rsid w:val="00F15928"/>
    <w:rsid w:val="00F16030"/>
    <w:rsid w:val="00F16545"/>
    <w:rsid w:val="00F168B6"/>
    <w:rsid w:val="00F16D95"/>
    <w:rsid w:val="00F16DF8"/>
    <w:rsid w:val="00F177D4"/>
    <w:rsid w:val="00F20509"/>
    <w:rsid w:val="00F20A08"/>
    <w:rsid w:val="00F21322"/>
    <w:rsid w:val="00F21B21"/>
    <w:rsid w:val="00F22065"/>
    <w:rsid w:val="00F22136"/>
    <w:rsid w:val="00F2225A"/>
    <w:rsid w:val="00F242D6"/>
    <w:rsid w:val="00F24C59"/>
    <w:rsid w:val="00F24D77"/>
    <w:rsid w:val="00F25009"/>
    <w:rsid w:val="00F2537D"/>
    <w:rsid w:val="00F2539B"/>
    <w:rsid w:val="00F25429"/>
    <w:rsid w:val="00F25520"/>
    <w:rsid w:val="00F25AC7"/>
    <w:rsid w:val="00F25D3C"/>
    <w:rsid w:val="00F26296"/>
    <w:rsid w:val="00F26422"/>
    <w:rsid w:val="00F26CDB"/>
    <w:rsid w:val="00F26F2A"/>
    <w:rsid w:val="00F27A6D"/>
    <w:rsid w:val="00F27B25"/>
    <w:rsid w:val="00F27B87"/>
    <w:rsid w:val="00F27DA1"/>
    <w:rsid w:val="00F30088"/>
    <w:rsid w:val="00F31727"/>
    <w:rsid w:val="00F32652"/>
    <w:rsid w:val="00F32A9F"/>
    <w:rsid w:val="00F3368D"/>
    <w:rsid w:val="00F33C67"/>
    <w:rsid w:val="00F33C74"/>
    <w:rsid w:val="00F3404B"/>
    <w:rsid w:val="00F343F6"/>
    <w:rsid w:val="00F34FB4"/>
    <w:rsid w:val="00F3539E"/>
    <w:rsid w:val="00F35B59"/>
    <w:rsid w:val="00F35BB9"/>
    <w:rsid w:val="00F37027"/>
    <w:rsid w:val="00F379E8"/>
    <w:rsid w:val="00F37F94"/>
    <w:rsid w:val="00F409FE"/>
    <w:rsid w:val="00F40BE5"/>
    <w:rsid w:val="00F41603"/>
    <w:rsid w:val="00F419F0"/>
    <w:rsid w:val="00F42903"/>
    <w:rsid w:val="00F43116"/>
    <w:rsid w:val="00F43855"/>
    <w:rsid w:val="00F43B09"/>
    <w:rsid w:val="00F443D1"/>
    <w:rsid w:val="00F4486B"/>
    <w:rsid w:val="00F45785"/>
    <w:rsid w:val="00F45D29"/>
    <w:rsid w:val="00F45D61"/>
    <w:rsid w:val="00F46673"/>
    <w:rsid w:val="00F46859"/>
    <w:rsid w:val="00F4685E"/>
    <w:rsid w:val="00F4760E"/>
    <w:rsid w:val="00F47D88"/>
    <w:rsid w:val="00F47D98"/>
    <w:rsid w:val="00F47EA0"/>
    <w:rsid w:val="00F500FE"/>
    <w:rsid w:val="00F504E2"/>
    <w:rsid w:val="00F50DD0"/>
    <w:rsid w:val="00F50F2C"/>
    <w:rsid w:val="00F51627"/>
    <w:rsid w:val="00F51BFD"/>
    <w:rsid w:val="00F51FBA"/>
    <w:rsid w:val="00F52D4A"/>
    <w:rsid w:val="00F52D9D"/>
    <w:rsid w:val="00F530EC"/>
    <w:rsid w:val="00F532E1"/>
    <w:rsid w:val="00F5430C"/>
    <w:rsid w:val="00F546DB"/>
    <w:rsid w:val="00F548C4"/>
    <w:rsid w:val="00F54F5B"/>
    <w:rsid w:val="00F55A4B"/>
    <w:rsid w:val="00F5690F"/>
    <w:rsid w:val="00F56D8D"/>
    <w:rsid w:val="00F56DAC"/>
    <w:rsid w:val="00F60494"/>
    <w:rsid w:val="00F60614"/>
    <w:rsid w:val="00F60DC1"/>
    <w:rsid w:val="00F6130D"/>
    <w:rsid w:val="00F61577"/>
    <w:rsid w:val="00F62631"/>
    <w:rsid w:val="00F643E6"/>
    <w:rsid w:val="00F65966"/>
    <w:rsid w:val="00F6600D"/>
    <w:rsid w:val="00F66018"/>
    <w:rsid w:val="00F661AA"/>
    <w:rsid w:val="00F66FFC"/>
    <w:rsid w:val="00F673E8"/>
    <w:rsid w:val="00F67D00"/>
    <w:rsid w:val="00F70425"/>
    <w:rsid w:val="00F708FE"/>
    <w:rsid w:val="00F709D8"/>
    <w:rsid w:val="00F70E5B"/>
    <w:rsid w:val="00F713CB"/>
    <w:rsid w:val="00F7157E"/>
    <w:rsid w:val="00F717E0"/>
    <w:rsid w:val="00F7226E"/>
    <w:rsid w:val="00F72944"/>
    <w:rsid w:val="00F72E0D"/>
    <w:rsid w:val="00F72E2E"/>
    <w:rsid w:val="00F73713"/>
    <w:rsid w:val="00F73F9C"/>
    <w:rsid w:val="00F75429"/>
    <w:rsid w:val="00F75D6B"/>
    <w:rsid w:val="00F76025"/>
    <w:rsid w:val="00F765DB"/>
    <w:rsid w:val="00F76617"/>
    <w:rsid w:val="00F76A7A"/>
    <w:rsid w:val="00F7711C"/>
    <w:rsid w:val="00F773BD"/>
    <w:rsid w:val="00F80331"/>
    <w:rsid w:val="00F80AE2"/>
    <w:rsid w:val="00F80E1A"/>
    <w:rsid w:val="00F812A4"/>
    <w:rsid w:val="00F81D07"/>
    <w:rsid w:val="00F83696"/>
    <w:rsid w:val="00F83FA0"/>
    <w:rsid w:val="00F8511E"/>
    <w:rsid w:val="00F8518F"/>
    <w:rsid w:val="00F8542A"/>
    <w:rsid w:val="00F854DD"/>
    <w:rsid w:val="00F86A3F"/>
    <w:rsid w:val="00F87D50"/>
    <w:rsid w:val="00F87FC3"/>
    <w:rsid w:val="00F9036E"/>
    <w:rsid w:val="00F90696"/>
    <w:rsid w:val="00F92568"/>
    <w:rsid w:val="00F92665"/>
    <w:rsid w:val="00F92D1D"/>
    <w:rsid w:val="00F92E83"/>
    <w:rsid w:val="00F935AF"/>
    <w:rsid w:val="00F938DD"/>
    <w:rsid w:val="00F93C05"/>
    <w:rsid w:val="00F93CF3"/>
    <w:rsid w:val="00F93E8D"/>
    <w:rsid w:val="00F940F8"/>
    <w:rsid w:val="00F94BD0"/>
    <w:rsid w:val="00F952DC"/>
    <w:rsid w:val="00F9555B"/>
    <w:rsid w:val="00F95ADE"/>
    <w:rsid w:val="00F96654"/>
    <w:rsid w:val="00F96663"/>
    <w:rsid w:val="00F96672"/>
    <w:rsid w:val="00F966B3"/>
    <w:rsid w:val="00F968EA"/>
    <w:rsid w:val="00F973D0"/>
    <w:rsid w:val="00F97776"/>
    <w:rsid w:val="00FA00C6"/>
    <w:rsid w:val="00FA01EF"/>
    <w:rsid w:val="00FA0596"/>
    <w:rsid w:val="00FA088D"/>
    <w:rsid w:val="00FA13E5"/>
    <w:rsid w:val="00FA188A"/>
    <w:rsid w:val="00FA2488"/>
    <w:rsid w:val="00FA2D21"/>
    <w:rsid w:val="00FA3100"/>
    <w:rsid w:val="00FA3568"/>
    <w:rsid w:val="00FA379E"/>
    <w:rsid w:val="00FA39E6"/>
    <w:rsid w:val="00FA47C3"/>
    <w:rsid w:val="00FA4DC9"/>
    <w:rsid w:val="00FA50DE"/>
    <w:rsid w:val="00FA572C"/>
    <w:rsid w:val="00FA5F83"/>
    <w:rsid w:val="00FA67B5"/>
    <w:rsid w:val="00FA6B2E"/>
    <w:rsid w:val="00FA6B79"/>
    <w:rsid w:val="00FA6CAA"/>
    <w:rsid w:val="00FA738A"/>
    <w:rsid w:val="00FA784D"/>
    <w:rsid w:val="00FA7914"/>
    <w:rsid w:val="00FB061D"/>
    <w:rsid w:val="00FB0D10"/>
    <w:rsid w:val="00FB2306"/>
    <w:rsid w:val="00FB2B88"/>
    <w:rsid w:val="00FB2CD1"/>
    <w:rsid w:val="00FB30C7"/>
    <w:rsid w:val="00FB32ED"/>
    <w:rsid w:val="00FB386E"/>
    <w:rsid w:val="00FB41F1"/>
    <w:rsid w:val="00FB4940"/>
    <w:rsid w:val="00FB4F93"/>
    <w:rsid w:val="00FB5B05"/>
    <w:rsid w:val="00FB60F6"/>
    <w:rsid w:val="00FB6C2B"/>
    <w:rsid w:val="00FB6F4E"/>
    <w:rsid w:val="00FB71E6"/>
    <w:rsid w:val="00FB76BF"/>
    <w:rsid w:val="00FC04E7"/>
    <w:rsid w:val="00FC0C13"/>
    <w:rsid w:val="00FC235A"/>
    <w:rsid w:val="00FC2959"/>
    <w:rsid w:val="00FC298B"/>
    <w:rsid w:val="00FC3151"/>
    <w:rsid w:val="00FC3618"/>
    <w:rsid w:val="00FC3CE5"/>
    <w:rsid w:val="00FC4954"/>
    <w:rsid w:val="00FC4F7C"/>
    <w:rsid w:val="00FC6BB4"/>
    <w:rsid w:val="00FC7395"/>
    <w:rsid w:val="00FC77F4"/>
    <w:rsid w:val="00FC7C1D"/>
    <w:rsid w:val="00FC7DF8"/>
    <w:rsid w:val="00FD03C5"/>
    <w:rsid w:val="00FD136D"/>
    <w:rsid w:val="00FD16C3"/>
    <w:rsid w:val="00FD1B26"/>
    <w:rsid w:val="00FD22FC"/>
    <w:rsid w:val="00FD2841"/>
    <w:rsid w:val="00FD3A27"/>
    <w:rsid w:val="00FD3D9C"/>
    <w:rsid w:val="00FD3DB9"/>
    <w:rsid w:val="00FD4039"/>
    <w:rsid w:val="00FD4404"/>
    <w:rsid w:val="00FD45B7"/>
    <w:rsid w:val="00FD4C80"/>
    <w:rsid w:val="00FD5B0A"/>
    <w:rsid w:val="00FD5B7D"/>
    <w:rsid w:val="00FD7E4E"/>
    <w:rsid w:val="00FD7F5C"/>
    <w:rsid w:val="00FE032E"/>
    <w:rsid w:val="00FE1086"/>
    <w:rsid w:val="00FE14F9"/>
    <w:rsid w:val="00FE1E62"/>
    <w:rsid w:val="00FE1EE0"/>
    <w:rsid w:val="00FE2768"/>
    <w:rsid w:val="00FE29FB"/>
    <w:rsid w:val="00FE3038"/>
    <w:rsid w:val="00FE3492"/>
    <w:rsid w:val="00FE35CC"/>
    <w:rsid w:val="00FE35F4"/>
    <w:rsid w:val="00FE368C"/>
    <w:rsid w:val="00FE37E0"/>
    <w:rsid w:val="00FE4A13"/>
    <w:rsid w:val="00FE535D"/>
    <w:rsid w:val="00FE5416"/>
    <w:rsid w:val="00FE54FB"/>
    <w:rsid w:val="00FE55EE"/>
    <w:rsid w:val="00FE5D87"/>
    <w:rsid w:val="00FE61A8"/>
    <w:rsid w:val="00FE6C50"/>
    <w:rsid w:val="00FE7629"/>
    <w:rsid w:val="00FE78D1"/>
    <w:rsid w:val="00FE7A7F"/>
    <w:rsid w:val="00FF11A6"/>
    <w:rsid w:val="00FF136F"/>
    <w:rsid w:val="00FF1A0E"/>
    <w:rsid w:val="00FF1BA0"/>
    <w:rsid w:val="00FF1C32"/>
    <w:rsid w:val="00FF237C"/>
    <w:rsid w:val="00FF249F"/>
    <w:rsid w:val="00FF2B90"/>
    <w:rsid w:val="00FF38A9"/>
    <w:rsid w:val="00FF4DC6"/>
    <w:rsid w:val="00FF5086"/>
    <w:rsid w:val="00FF52FD"/>
    <w:rsid w:val="00FF5AB1"/>
    <w:rsid w:val="00FF5C25"/>
    <w:rsid w:val="00FF60EF"/>
    <w:rsid w:val="00FF70E8"/>
    <w:rsid w:val="00FF7278"/>
    <w:rsid w:val="00FF757F"/>
    <w:rsid w:val="00FF788F"/>
    <w:rsid w:val="00FF796A"/>
    <w:rsid w:val="0103595F"/>
    <w:rsid w:val="014F6A66"/>
    <w:rsid w:val="01648373"/>
    <w:rsid w:val="01967923"/>
    <w:rsid w:val="0197FDA9"/>
    <w:rsid w:val="019E0107"/>
    <w:rsid w:val="01D7017E"/>
    <w:rsid w:val="01DAAB67"/>
    <w:rsid w:val="01E0F855"/>
    <w:rsid w:val="021528C4"/>
    <w:rsid w:val="0250270A"/>
    <w:rsid w:val="027398D7"/>
    <w:rsid w:val="02771EB7"/>
    <w:rsid w:val="02796C74"/>
    <w:rsid w:val="02B7F3D5"/>
    <w:rsid w:val="02E8E2CE"/>
    <w:rsid w:val="02F73859"/>
    <w:rsid w:val="03209E73"/>
    <w:rsid w:val="033303C1"/>
    <w:rsid w:val="03390E09"/>
    <w:rsid w:val="037648F7"/>
    <w:rsid w:val="037F2157"/>
    <w:rsid w:val="039035FF"/>
    <w:rsid w:val="0392A496"/>
    <w:rsid w:val="03A49804"/>
    <w:rsid w:val="03BC6D84"/>
    <w:rsid w:val="03CF2895"/>
    <w:rsid w:val="03CFCF1E"/>
    <w:rsid w:val="03F02FE8"/>
    <w:rsid w:val="04073ACB"/>
    <w:rsid w:val="0412EA19"/>
    <w:rsid w:val="0458F3AE"/>
    <w:rsid w:val="045B0918"/>
    <w:rsid w:val="047AE99E"/>
    <w:rsid w:val="047C6E7E"/>
    <w:rsid w:val="048F7324"/>
    <w:rsid w:val="04910070"/>
    <w:rsid w:val="04AF709C"/>
    <w:rsid w:val="04D035E3"/>
    <w:rsid w:val="04D5A3F7"/>
    <w:rsid w:val="04DC788C"/>
    <w:rsid w:val="05191D4E"/>
    <w:rsid w:val="0533F82D"/>
    <w:rsid w:val="05486083"/>
    <w:rsid w:val="056DBD62"/>
    <w:rsid w:val="0598C0C1"/>
    <w:rsid w:val="05A0351B"/>
    <w:rsid w:val="05C54FF4"/>
    <w:rsid w:val="06151946"/>
    <w:rsid w:val="062C5724"/>
    <w:rsid w:val="065F479E"/>
    <w:rsid w:val="066C381A"/>
    <w:rsid w:val="066DEAF8"/>
    <w:rsid w:val="069A2DCA"/>
    <w:rsid w:val="06D488A9"/>
    <w:rsid w:val="06FF5C17"/>
    <w:rsid w:val="07285266"/>
    <w:rsid w:val="07339B4E"/>
    <w:rsid w:val="073C524F"/>
    <w:rsid w:val="075FF44C"/>
    <w:rsid w:val="0775A336"/>
    <w:rsid w:val="077B7E8D"/>
    <w:rsid w:val="078AB0DA"/>
    <w:rsid w:val="0791ACD9"/>
    <w:rsid w:val="07922807"/>
    <w:rsid w:val="07AC5EE5"/>
    <w:rsid w:val="07C51273"/>
    <w:rsid w:val="07CE2A17"/>
    <w:rsid w:val="07E00770"/>
    <w:rsid w:val="07ECEC59"/>
    <w:rsid w:val="07F2E0A6"/>
    <w:rsid w:val="07FA36B4"/>
    <w:rsid w:val="08122110"/>
    <w:rsid w:val="0819B805"/>
    <w:rsid w:val="08250927"/>
    <w:rsid w:val="082ADD50"/>
    <w:rsid w:val="0857F05E"/>
    <w:rsid w:val="088B406C"/>
    <w:rsid w:val="08A64AC9"/>
    <w:rsid w:val="08AC4755"/>
    <w:rsid w:val="08B0A987"/>
    <w:rsid w:val="08BDD4F7"/>
    <w:rsid w:val="08D0B289"/>
    <w:rsid w:val="08D443C8"/>
    <w:rsid w:val="08D5E3A7"/>
    <w:rsid w:val="0932C85D"/>
    <w:rsid w:val="094DB438"/>
    <w:rsid w:val="095F56A0"/>
    <w:rsid w:val="097161AF"/>
    <w:rsid w:val="0978B0D3"/>
    <w:rsid w:val="098965E4"/>
    <w:rsid w:val="099B96BB"/>
    <w:rsid w:val="09A17887"/>
    <w:rsid w:val="09BA8468"/>
    <w:rsid w:val="09C23B49"/>
    <w:rsid w:val="09CB2A3E"/>
    <w:rsid w:val="09D2DEA8"/>
    <w:rsid w:val="0A4698F5"/>
    <w:rsid w:val="0A473D93"/>
    <w:rsid w:val="0A805AE0"/>
    <w:rsid w:val="0A8446CC"/>
    <w:rsid w:val="0A8ACE31"/>
    <w:rsid w:val="0A8E63AE"/>
    <w:rsid w:val="0A9ADDA1"/>
    <w:rsid w:val="0A9B0A48"/>
    <w:rsid w:val="0AAE436B"/>
    <w:rsid w:val="0ADDD304"/>
    <w:rsid w:val="0AFEA3C5"/>
    <w:rsid w:val="0B05C702"/>
    <w:rsid w:val="0B0907D9"/>
    <w:rsid w:val="0BAC69A6"/>
    <w:rsid w:val="0BB40A9F"/>
    <w:rsid w:val="0BF49316"/>
    <w:rsid w:val="0C567D73"/>
    <w:rsid w:val="0C5CC137"/>
    <w:rsid w:val="0C8DFEAC"/>
    <w:rsid w:val="0CB47E9D"/>
    <w:rsid w:val="0CBCB058"/>
    <w:rsid w:val="0CBFE04C"/>
    <w:rsid w:val="0CD6F623"/>
    <w:rsid w:val="0CF092BE"/>
    <w:rsid w:val="0CF5B7C3"/>
    <w:rsid w:val="0D370934"/>
    <w:rsid w:val="0D500297"/>
    <w:rsid w:val="0D5E90B9"/>
    <w:rsid w:val="0D953696"/>
    <w:rsid w:val="0DACD5F4"/>
    <w:rsid w:val="0DE94D83"/>
    <w:rsid w:val="0E1EED2A"/>
    <w:rsid w:val="0E5D8B25"/>
    <w:rsid w:val="0E9A17B4"/>
    <w:rsid w:val="0EB05289"/>
    <w:rsid w:val="0EC50D61"/>
    <w:rsid w:val="0EEB5152"/>
    <w:rsid w:val="0EEBD5DF"/>
    <w:rsid w:val="0EF2CE9E"/>
    <w:rsid w:val="0F02CB74"/>
    <w:rsid w:val="0F02F7CA"/>
    <w:rsid w:val="0F0B4780"/>
    <w:rsid w:val="0F26AD7B"/>
    <w:rsid w:val="0F48361B"/>
    <w:rsid w:val="0F4905A6"/>
    <w:rsid w:val="0F52E95D"/>
    <w:rsid w:val="0F588066"/>
    <w:rsid w:val="0F7145F3"/>
    <w:rsid w:val="0F86458D"/>
    <w:rsid w:val="0F8D59E6"/>
    <w:rsid w:val="0FA54596"/>
    <w:rsid w:val="0FD4F118"/>
    <w:rsid w:val="0FDE0C93"/>
    <w:rsid w:val="0FEE4B4B"/>
    <w:rsid w:val="0FF44385"/>
    <w:rsid w:val="0FF8C40E"/>
    <w:rsid w:val="0FF90C0F"/>
    <w:rsid w:val="0FFEADC3"/>
    <w:rsid w:val="10162C43"/>
    <w:rsid w:val="1061B204"/>
    <w:rsid w:val="10984BFD"/>
    <w:rsid w:val="109D9D12"/>
    <w:rsid w:val="10A220FF"/>
    <w:rsid w:val="10A80439"/>
    <w:rsid w:val="10C84053"/>
    <w:rsid w:val="10DD29B0"/>
    <w:rsid w:val="10EAAC89"/>
    <w:rsid w:val="10F62EBA"/>
    <w:rsid w:val="111E8FF2"/>
    <w:rsid w:val="1127052D"/>
    <w:rsid w:val="112737FE"/>
    <w:rsid w:val="112A051D"/>
    <w:rsid w:val="112E7E00"/>
    <w:rsid w:val="11468433"/>
    <w:rsid w:val="115EE247"/>
    <w:rsid w:val="116BFC1C"/>
    <w:rsid w:val="117F637E"/>
    <w:rsid w:val="118AB364"/>
    <w:rsid w:val="118D8E31"/>
    <w:rsid w:val="118FF25D"/>
    <w:rsid w:val="11AD2554"/>
    <w:rsid w:val="11AF18A6"/>
    <w:rsid w:val="11B38B2E"/>
    <w:rsid w:val="11CF8626"/>
    <w:rsid w:val="120B18A1"/>
    <w:rsid w:val="1217E232"/>
    <w:rsid w:val="123FD81C"/>
    <w:rsid w:val="1254FFF1"/>
    <w:rsid w:val="128E6313"/>
    <w:rsid w:val="12B8E0B9"/>
    <w:rsid w:val="12C8D473"/>
    <w:rsid w:val="12E8094A"/>
    <w:rsid w:val="12EB3AF3"/>
    <w:rsid w:val="12F862A6"/>
    <w:rsid w:val="12F8EE8B"/>
    <w:rsid w:val="12FCB1BD"/>
    <w:rsid w:val="12FEE27B"/>
    <w:rsid w:val="1324BE18"/>
    <w:rsid w:val="13487399"/>
    <w:rsid w:val="136979E3"/>
    <w:rsid w:val="139F03BB"/>
    <w:rsid w:val="13AD54CD"/>
    <w:rsid w:val="13AF2CE7"/>
    <w:rsid w:val="13DA14E6"/>
    <w:rsid w:val="1434FF26"/>
    <w:rsid w:val="14681214"/>
    <w:rsid w:val="147D1361"/>
    <w:rsid w:val="147F235F"/>
    <w:rsid w:val="149F7991"/>
    <w:rsid w:val="14E4B408"/>
    <w:rsid w:val="150E1DBE"/>
    <w:rsid w:val="15136AE3"/>
    <w:rsid w:val="15292462"/>
    <w:rsid w:val="152E9173"/>
    <w:rsid w:val="154A4986"/>
    <w:rsid w:val="15744F81"/>
    <w:rsid w:val="1589A939"/>
    <w:rsid w:val="15F4C2BD"/>
    <w:rsid w:val="160EF219"/>
    <w:rsid w:val="1669DB0B"/>
    <w:rsid w:val="16773F22"/>
    <w:rsid w:val="168973E7"/>
    <w:rsid w:val="1702C715"/>
    <w:rsid w:val="171F977B"/>
    <w:rsid w:val="1721E7F0"/>
    <w:rsid w:val="1788A8D5"/>
    <w:rsid w:val="178EB7C6"/>
    <w:rsid w:val="17A0F795"/>
    <w:rsid w:val="17CAFEE8"/>
    <w:rsid w:val="17CF5E22"/>
    <w:rsid w:val="17F40AF3"/>
    <w:rsid w:val="17F90321"/>
    <w:rsid w:val="18055877"/>
    <w:rsid w:val="182EDFB0"/>
    <w:rsid w:val="1830842A"/>
    <w:rsid w:val="1837FCFD"/>
    <w:rsid w:val="183934B3"/>
    <w:rsid w:val="185BB5F4"/>
    <w:rsid w:val="1886E276"/>
    <w:rsid w:val="1887B2AE"/>
    <w:rsid w:val="189D6FB4"/>
    <w:rsid w:val="18A68BCE"/>
    <w:rsid w:val="18B13A2A"/>
    <w:rsid w:val="18B38579"/>
    <w:rsid w:val="18C02D39"/>
    <w:rsid w:val="18C5EFB0"/>
    <w:rsid w:val="18EA038D"/>
    <w:rsid w:val="18ED84CA"/>
    <w:rsid w:val="1927488C"/>
    <w:rsid w:val="1954FCFA"/>
    <w:rsid w:val="1955A6D4"/>
    <w:rsid w:val="195DBE66"/>
    <w:rsid w:val="19D73023"/>
    <w:rsid w:val="19DE5360"/>
    <w:rsid w:val="19F5E0B0"/>
    <w:rsid w:val="19FB547E"/>
    <w:rsid w:val="1A001615"/>
    <w:rsid w:val="1A121A10"/>
    <w:rsid w:val="1A3641FA"/>
    <w:rsid w:val="1A3CAF1A"/>
    <w:rsid w:val="1A4D854A"/>
    <w:rsid w:val="1A6A9E23"/>
    <w:rsid w:val="1A7A4563"/>
    <w:rsid w:val="1A816CD0"/>
    <w:rsid w:val="1A8D1186"/>
    <w:rsid w:val="1A8FB9B2"/>
    <w:rsid w:val="1ACF41BE"/>
    <w:rsid w:val="1B698178"/>
    <w:rsid w:val="1B6EFB6C"/>
    <w:rsid w:val="1B713ED5"/>
    <w:rsid w:val="1B7C80A6"/>
    <w:rsid w:val="1B9B8F8E"/>
    <w:rsid w:val="1B9BF2E6"/>
    <w:rsid w:val="1BA99CFC"/>
    <w:rsid w:val="1BC0860E"/>
    <w:rsid w:val="1BC3DB94"/>
    <w:rsid w:val="1BE9E2CB"/>
    <w:rsid w:val="1C2F261E"/>
    <w:rsid w:val="1C355BF1"/>
    <w:rsid w:val="1C497EE7"/>
    <w:rsid w:val="1C636E1B"/>
    <w:rsid w:val="1CA0FFC1"/>
    <w:rsid w:val="1CC944AC"/>
    <w:rsid w:val="1CCD6CB5"/>
    <w:rsid w:val="1CF69C54"/>
    <w:rsid w:val="1D2EC175"/>
    <w:rsid w:val="1D3951F2"/>
    <w:rsid w:val="1D710F05"/>
    <w:rsid w:val="1D9475B1"/>
    <w:rsid w:val="1D99EEE6"/>
    <w:rsid w:val="1D9A0257"/>
    <w:rsid w:val="1DAB3DBA"/>
    <w:rsid w:val="1DB766BA"/>
    <w:rsid w:val="1DDD6ADE"/>
    <w:rsid w:val="1DF5223F"/>
    <w:rsid w:val="1DFE5F03"/>
    <w:rsid w:val="1E00A88D"/>
    <w:rsid w:val="1E0112A3"/>
    <w:rsid w:val="1E1A85E2"/>
    <w:rsid w:val="1E1C659D"/>
    <w:rsid w:val="1E1F2474"/>
    <w:rsid w:val="1E322BA8"/>
    <w:rsid w:val="1E3CF8EF"/>
    <w:rsid w:val="1E9FF234"/>
    <w:rsid w:val="1ED4A741"/>
    <w:rsid w:val="1EE5DF4D"/>
    <w:rsid w:val="1F0D1F57"/>
    <w:rsid w:val="1F35BD19"/>
    <w:rsid w:val="1F736325"/>
    <w:rsid w:val="1FE3E267"/>
    <w:rsid w:val="1FE4BBEE"/>
    <w:rsid w:val="1FF345F0"/>
    <w:rsid w:val="1FF5DCA7"/>
    <w:rsid w:val="2000DCD8"/>
    <w:rsid w:val="208E4DE2"/>
    <w:rsid w:val="20B33F65"/>
    <w:rsid w:val="20B7FE2B"/>
    <w:rsid w:val="20BA9127"/>
    <w:rsid w:val="20CBE051"/>
    <w:rsid w:val="20F5DFBB"/>
    <w:rsid w:val="20F822F7"/>
    <w:rsid w:val="211FD2B5"/>
    <w:rsid w:val="213ACD02"/>
    <w:rsid w:val="21746C6B"/>
    <w:rsid w:val="21B29540"/>
    <w:rsid w:val="21B992BB"/>
    <w:rsid w:val="21B9D0AA"/>
    <w:rsid w:val="21C44670"/>
    <w:rsid w:val="21ED0D64"/>
    <w:rsid w:val="221A3D71"/>
    <w:rsid w:val="223A792E"/>
    <w:rsid w:val="22795896"/>
    <w:rsid w:val="227AEDEC"/>
    <w:rsid w:val="227CDB98"/>
    <w:rsid w:val="22806FFD"/>
    <w:rsid w:val="22863DC2"/>
    <w:rsid w:val="2292DF0C"/>
    <w:rsid w:val="22A3E712"/>
    <w:rsid w:val="22BB8670"/>
    <w:rsid w:val="22BDC301"/>
    <w:rsid w:val="22DEC667"/>
    <w:rsid w:val="232A7EDE"/>
    <w:rsid w:val="23501733"/>
    <w:rsid w:val="23664D0E"/>
    <w:rsid w:val="236C02B1"/>
    <w:rsid w:val="237849FD"/>
    <w:rsid w:val="237FF02F"/>
    <w:rsid w:val="23858C8B"/>
    <w:rsid w:val="23C69D7A"/>
    <w:rsid w:val="23C7914C"/>
    <w:rsid w:val="23CAF5E3"/>
    <w:rsid w:val="23E62116"/>
    <w:rsid w:val="24149A15"/>
    <w:rsid w:val="244CD3CF"/>
    <w:rsid w:val="24626A8A"/>
    <w:rsid w:val="24691E88"/>
    <w:rsid w:val="249878EF"/>
    <w:rsid w:val="24E96B4F"/>
    <w:rsid w:val="2500EE60"/>
    <w:rsid w:val="255F7F5A"/>
    <w:rsid w:val="256A8071"/>
    <w:rsid w:val="25719282"/>
    <w:rsid w:val="2595D949"/>
    <w:rsid w:val="25998C88"/>
    <w:rsid w:val="259E3EB7"/>
    <w:rsid w:val="25C987F6"/>
    <w:rsid w:val="25D9522D"/>
    <w:rsid w:val="25E2483C"/>
    <w:rsid w:val="260A09DC"/>
    <w:rsid w:val="2620D459"/>
    <w:rsid w:val="263AC8A5"/>
    <w:rsid w:val="264BE8AE"/>
    <w:rsid w:val="264EE236"/>
    <w:rsid w:val="26805091"/>
    <w:rsid w:val="268EFF8C"/>
    <w:rsid w:val="26BF334D"/>
    <w:rsid w:val="26DB5EEB"/>
    <w:rsid w:val="26E2504D"/>
    <w:rsid w:val="26FEBD87"/>
    <w:rsid w:val="270BE319"/>
    <w:rsid w:val="27158258"/>
    <w:rsid w:val="27201FB8"/>
    <w:rsid w:val="2750763E"/>
    <w:rsid w:val="277E46E2"/>
    <w:rsid w:val="277F69CF"/>
    <w:rsid w:val="278A2C41"/>
    <w:rsid w:val="278D9CEC"/>
    <w:rsid w:val="279CD78E"/>
    <w:rsid w:val="27F56586"/>
    <w:rsid w:val="283AE1DC"/>
    <w:rsid w:val="2856DC57"/>
    <w:rsid w:val="285CCA16"/>
    <w:rsid w:val="285CD4AE"/>
    <w:rsid w:val="285F9735"/>
    <w:rsid w:val="287008BE"/>
    <w:rsid w:val="28711FAB"/>
    <w:rsid w:val="2886C0BA"/>
    <w:rsid w:val="28A8A260"/>
    <w:rsid w:val="28D0F42E"/>
    <w:rsid w:val="28D6D061"/>
    <w:rsid w:val="28EE5C22"/>
    <w:rsid w:val="29466563"/>
    <w:rsid w:val="296C9B46"/>
    <w:rsid w:val="2979D8AB"/>
    <w:rsid w:val="29897676"/>
    <w:rsid w:val="298B6B63"/>
    <w:rsid w:val="29946A38"/>
    <w:rsid w:val="29973FF9"/>
    <w:rsid w:val="29A50ED2"/>
    <w:rsid w:val="29C07930"/>
    <w:rsid w:val="29EF600B"/>
    <w:rsid w:val="29F499EF"/>
    <w:rsid w:val="2A1150C2"/>
    <w:rsid w:val="2A1A2221"/>
    <w:rsid w:val="2A37A7C4"/>
    <w:rsid w:val="2A3FD1A5"/>
    <w:rsid w:val="2A83A24D"/>
    <w:rsid w:val="2ADA584A"/>
    <w:rsid w:val="2AF3586E"/>
    <w:rsid w:val="2AFB1323"/>
    <w:rsid w:val="2B08A781"/>
    <w:rsid w:val="2B0DB18D"/>
    <w:rsid w:val="2B3159C2"/>
    <w:rsid w:val="2B6B5959"/>
    <w:rsid w:val="2B979C9E"/>
    <w:rsid w:val="2BC36DBA"/>
    <w:rsid w:val="2BDDE542"/>
    <w:rsid w:val="2BDFC364"/>
    <w:rsid w:val="2BF65267"/>
    <w:rsid w:val="2C059A9E"/>
    <w:rsid w:val="2C0B58B5"/>
    <w:rsid w:val="2C0FEE4F"/>
    <w:rsid w:val="2C561B75"/>
    <w:rsid w:val="2C5EA3D5"/>
    <w:rsid w:val="2C8B14A6"/>
    <w:rsid w:val="2CA1C567"/>
    <w:rsid w:val="2CAF3287"/>
    <w:rsid w:val="2CC71C87"/>
    <w:rsid w:val="2CF90E1A"/>
    <w:rsid w:val="2D196C43"/>
    <w:rsid w:val="2D427CC7"/>
    <w:rsid w:val="2D4B2E45"/>
    <w:rsid w:val="2D4D7DAB"/>
    <w:rsid w:val="2D5E3F72"/>
    <w:rsid w:val="2D750185"/>
    <w:rsid w:val="2D95ED01"/>
    <w:rsid w:val="2DAB562C"/>
    <w:rsid w:val="2DB25CEF"/>
    <w:rsid w:val="2DFBAD38"/>
    <w:rsid w:val="2E1D9FC4"/>
    <w:rsid w:val="2E30B014"/>
    <w:rsid w:val="2E409E78"/>
    <w:rsid w:val="2E90E689"/>
    <w:rsid w:val="2E9C422C"/>
    <w:rsid w:val="2E9CC15E"/>
    <w:rsid w:val="2EB15B39"/>
    <w:rsid w:val="2F0036F1"/>
    <w:rsid w:val="2F557326"/>
    <w:rsid w:val="2F738D23"/>
    <w:rsid w:val="2F982DE0"/>
    <w:rsid w:val="2FB5ACEF"/>
    <w:rsid w:val="2FC5CD72"/>
    <w:rsid w:val="2FD6147D"/>
    <w:rsid w:val="2FE57188"/>
    <w:rsid w:val="2FFDFBC2"/>
    <w:rsid w:val="3005BE71"/>
    <w:rsid w:val="30449C04"/>
    <w:rsid w:val="3058A3FA"/>
    <w:rsid w:val="3062E59F"/>
    <w:rsid w:val="306C3131"/>
    <w:rsid w:val="3077EC12"/>
    <w:rsid w:val="307EE3E1"/>
    <w:rsid w:val="3086A227"/>
    <w:rsid w:val="3097A69C"/>
    <w:rsid w:val="30BF62E0"/>
    <w:rsid w:val="30D1EE79"/>
    <w:rsid w:val="31221C3F"/>
    <w:rsid w:val="312875D5"/>
    <w:rsid w:val="31302B42"/>
    <w:rsid w:val="31381829"/>
    <w:rsid w:val="3143B019"/>
    <w:rsid w:val="31560699"/>
    <w:rsid w:val="317FEC2A"/>
    <w:rsid w:val="3188A708"/>
    <w:rsid w:val="318C540F"/>
    <w:rsid w:val="31B9C7D7"/>
    <w:rsid w:val="31BFAF41"/>
    <w:rsid w:val="31CCA367"/>
    <w:rsid w:val="31D36EAF"/>
    <w:rsid w:val="31EA8B43"/>
    <w:rsid w:val="31F7D8F2"/>
    <w:rsid w:val="32156C9D"/>
    <w:rsid w:val="32233C75"/>
    <w:rsid w:val="323507AA"/>
    <w:rsid w:val="324D7340"/>
    <w:rsid w:val="32528496"/>
    <w:rsid w:val="32A9C9D9"/>
    <w:rsid w:val="32DA10BA"/>
    <w:rsid w:val="32E56BEB"/>
    <w:rsid w:val="32ED4788"/>
    <w:rsid w:val="3309EE46"/>
    <w:rsid w:val="331CAF8E"/>
    <w:rsid w:val="331D7B96"/>
    <w:rsid w:val="333239D9"/>
    <w:rsid w:val="3345C9BA"/>
    <w:rsid w:val="33601574"/>
    <w:rsid w:val="3367F2EE"/>
    <w:rsid w:val="336AF929"/>
    <w:rsid w:val="3387C0B9"/>
    <w:rsid w:val="33BD446C"/>
    <w:rsid w:val="33C9C96A"/>
    <w:rsid w:val="33D7DB24"/>
    <w:rsid w:val="33EA30AF"/>
    <w:rsid w:val="33EAF60C"/>
    <w:rsid w:val="3423651F"/>
    <w:rsid w:val="346FBAED"/>
    <w:rsid w:val="3477AA62"/>
    <w:rsid w:val="3479BD44"/>
    <w:rsid w:val="34D0C712"/>
    <w:rsid w:val="34D53476"/>
    <w:rsid w:val="35005123"/>
    <w:rsid w:val="350B8D15"/>
    <w:rsid w:val="3512BAEA"/>
    <w:rsid w:val="3580593D"/>
    <w:rsid w:val="359E1CEB"/>
    <w:rsid w:val="35A91E42"/>
    <w:rsid w:val="35BDEF86"/>
    <w:rsid w:val="35BFB77D"/>
    <w:rsid w:val="35D25D77"/>
    <w:rsid w:val="35E1D8A7"/>
    <w:rsid w:val="35EF808F"/>
    <w:rsid w:val="35F59D15"/>
    <w:rsid w:val="36067345"/>
    <w:rsid w:val="365A19F8"/>
    <w:rsid w:val="365B8515"/>
    <w:rsid w:val="36621E2A"/>
    <w:rsid w:val="36812F41"/>
    <w:rsid w:val="3686D9B5"/>
    <w:rsid w:val="36953548"/>
    <w:rsid w:val="36A17ADB"/>
    <w:rsid w:val="36A62E86"/>
    <w:rsid w:val="36D919ED"/>
    <w:rsid w:val="36E011BC"/>
    <w:rsid w:val="36E22EED"/>
    <w:rsid w:val="3705875A"/>
    <w:rsid w:val="370738FA"/>
    <w:rsid w:val="371570A6"/>
    <w:rsid w:val="3730DF77"/>
    <w:rsid w:val="37310B46"/>
    <w:rsid w:val="373FCE3C"/>
    <w:rsid w:val="375E0D6C"/>
    <w:rsid w:val="377748FA"/>
    <w:rsid w:val="378B83C1"/>
    <w:rsid w:val="37945D5A"/>
    <w:rsid w:val="3796FD1C"/>
    <w:rsid w:val="37E2BC3E"/>
    <w:rsid w:val="37E4DCB5"/>
    <w:rsid w:val="38117504"/>
    <w:rsid w:val="3818545D"/>
    <w:rsid w:val="38361EF6"/>
    <w:rsid w:val="383C2E5A"/>
    <w:rsid w:val="386062FA"/>
    <w:rsid w:val="38746D1E"/>
    <w:rsid w:val="389E6801"/>
    <w:rsid w:val="38C98EE5"/>
    <w:rsid w:val="3918445A"/>
    <w:rsid w:val="3918F3FF"/>
    <w:rsid w:val="392A8657"/>
    <w:rsid w:val="395874F1"/>
    <w:rsid w:val="39677BB0"/>
    <w:rsid w:val="39918346"/>
    <w:rsid w:val="399445CD"/>
    <w:rsid w:val="39AF7B98"/>
    <w:rsid w:val="39C3053E"/>
    <w:rsid w:val="39C833BB"/>
    <w:rsid w:val="39DE9B63"/>
    <w:rsid w:val="3A30A4E0"/>
    <w:rsid w:val="3A3D7DB2"/>
    <w:rsid w:val="3A5DDDAD"/>
    <w:rsid w:val="3A650632"/>
    <w:rsid w:val="3A72B0BB"/>
    <w:rsid w:val="3A74DA9F"/>
    <w:rsid w:val="3A7F8904"/>
    <w:rsid w:val="3AA3A332"/>
    <w:rsid w:val="3AD58E4A"/>
    <w:rsid w:val="3AEEAF44"/>
    <w:rsid w:val="3AFA399F"/>
    <w:rsid w:val="3B1EC4D0"/>
    <w:rsid w:val="3B24055B"/>
    <w:rsid w:val="3B339D8A"/>
    <w:rsid w:val="3B500473"/>
    <w:rsid w:val="3B5BCF34"/>
    <w:rsid w:val="3B867551"/>
    <w:rsid w:val="3BB703DB"/>
    <w:rsid w:val="3BBED62F"/>
    <w:rsid w:val="3BD4FC6E"/>
    <w:rsid w:val="3BD55DEB"/>
    <w:rsid w:val="3BE02880"/>
    <w:rsid w:val="3BEDBAB0"/>
    <w:rsid w:val="3BFFF2A1"/>
    <w:rsid w:val="3C11C4F0"/>
    <w:rsid w:val="3C301751"/>
    <w:rsid w:val="3C4396E0"/>
    <w:rsid w:val="3C56B19B"/>
    <w:rsid w:val="3C58E123"/>
    <w:rsid w:val="3C681AF7"/>
    <w:rsid w:val="3C7D1ABF"/>
    <w:rsid w:val="3CAC3D05"/>
    <w:rsid w:val="3CAC562D"/>
    <w:rsid w:val="3CD13D13"/>
    <w:rsid w:val="3CF8ACC7"/>
    <w:rsid w:val="3D3759D3"/>
    <w:rsid w:val="3D54FDB4"/>
    <w:rsid w:val="3D68224B"/>
    <w:rsid w:val="3D9E848E"/>
    <w:rsid w:val="3DE5EC09"/>
    <w:rsid w:val="3DFAE770"/>
    <w:rsid w:val="3E33BEBE"/>
    <w:rsid w:val="3E5D8641"/>
    <w:rsid w:val="3E7DB724"/>
    <w:rsid w:val="3E984477"/>
    <w:rsid w:val="3EFF2B97"/>
    <w:rsid w:val="3F481530"/>
    <w:rsid w:val="3F4B0EE8"/>
    <w:rsid w:val="3F5723C5"/>
    <w:rsid w:val="3F96C877"/>
    <w:rsid w:val="3FA17789"/>
    <w:rsid w:val="3FBED579"/>
    <w:rsid w:val="3FEF68D4"/>
    <w:rsid w:val="3FF29E87"/>
    <w:rsid w:val="402C844B"/>
    <w:rsid w:val="40582911"/>
    <w:rsid w:val="40654AF3"/>
    <w:rsid w:val="40AE2AED"/>
    <w:rsid w:val="40B9D7F3"/>
    <w:rsid w:val="40C0342D"/>
    <w:rsid w:val="40C143E9"/>
    <w:rsid w:val="40C378CA"/>
    <w:rsid w:val="40DDC484"/>
    <w:rsid w:val="40E07CF4"/>
    <w:rsid w:val="40E60BE4"/>
    <w:rsid w:val="4101E47A"/>
    <w:rsid w:val="41179F7B"/>
    <w:rsid w:val="412EC837"/>
    <w:rsid w:val="4130B3F2"/>
    <w:rsid w:val="4138B906"/>
    <w:rsid w:val="413E7502"/>
    <w:rsid w:val="414EEC91"/>
    <w:rsid w:val="41879708"/>
    <w:rsid w:val="4194B7DB"/>
    <w:rsid w:val="41C343C5"/>
    <w:rsid w:val="42035921"/>
    <w:rsid w:val="42118D90"/>
    <w:rsid w:val="423E5ACB"/>
    <w:rsid w:val="4244C659"/>
    <w:rsid w:val="4265B5A9"/>
    <w:rsid w:val="427EA5AA"/>
    <w:rsid w:val="42B846EB"/>
    <w:rsid w:val="433AC0B2"/>
    <w:rsid w:val="434FE1AD"/>
    <w:rsid w:val="438441C3"/>
    <w:rsid w:val="43FCF26C"/>
    <w:rsid w:val="4439DD70"/>
    <w:rsid w:val="443EA531"/>
    <w:rsid w:val="4454F0B9"/>
    <w:rsid w:val="447A5733"/>
    <w:rsid w:val="44CAF239"/>
    <w:rsid w:val="44F61FB6"/>
    <w:rsid w:val="4508685E"/>
    <w:rsid w:val="4526519C"/>
    <w:rsid w:val="452AA51C"/>
    <w:rsid w:val="453E4C58"/>
    <w:rsid w:val="45424F98"/>
    <w:rsid w:val="4547C88D"/>
    <w:rsid w:val="4575B31D"/>
    <w:rsid w:val="459CD6F6"/>
    <w:rsid w:val="45C7930E"/>
    <w:rsid w:val="45E0618C"/>
    <w:rsid w:val="45E38252"/>
    <w:rsid w:val="45F354ED"/>
    <w:rsid w:val="45F4874D"/>
    <w:rsid w:val="460FEEC4"/>
    <w:rsid w:val="462B7AF0"/>
    <w:rsid w:val="462EFC87"/>
    <w:rsid w:val="464DE636"/>
    <w:rsid w:val="4654F924"/>
    <w:rsid w:val="46778E32"/>
    <w:rsid w:val="46A11191"/>
    <w:rsid w:val="46AFB598"/>
    <w:rsid w:val="4723D518"/>
    <w:rsid w:val="473AE12E"/>
    <w:rsid w:val="475FBF54"/>
    <w:rsid w:val="4779E860"/>
    <w:rsid w:val="477FB288"/>
    <w:rsid w:val="485F4A1E"/>
    <w:rsid w:val="48A43A92"/>
    <w:rsid w:val="48F99CBC"/>
    <w:rsid w:val="48FBEA90"/>
    <w:rsid w:val="49042C2E"/>
    <w:rsid w:val="49071ECC"/>
    <w:rsid w:val="491E0AEE"/>
    <w:rsid w:val="494FEC4B"/>
    <w:rsid w:val="497FAC54"/>
    <w:rsid w:val="499191E7"/>
    <w:rsid w:val="49ACE471"/>
    <w:rsid w:val="49B51CD9"/>
    <w:rsid w:val="49B6DA98"/>
    <w:rsid w:val="49D6EFD8"/>
    <w:rsid w:val="49DD1954"/>
    <w:rsid w:val="49EC111F"/>
    <w:rsid w:val="4A1C03F9"/>
    <w:rsid w:val="4A300BEF"/>
    <w:rsid w:val="4A344131"/>
    <w:rsid w:val="4A45CEBA"/>
    <w:rsid w:val="4A5DB916"/>
    <w:rsid w:val="4A61F707"/>
    <w:rsid w:val="4A78D0BF"/>
    <w:rsid w:val="4A97E17F"/>
    <w:rsid w:val="4AAEB83F"/>
    <w:rsid w:val="4AB79A2B"/>
    <w:rsid w:val="4ABB7561"/>
    <w:rsid w:val="4ACF8AC2"/>
    <w:rsid w:val="4ADEBD4F"/>
    <w:rsid w:val="4AEA8324"/>
    <w:rsid w:val="4B04BD3F"/>
    <w:rsid w:val="4B2C5636"/>
    <w:rsid w:val="4B605900"/>
    <w:rsid w:val="4B89D9BE"/>
    <w:rsid w:val="4B95F916"/>
    <w:rsid w:val="4BA31846"/>
    <w:rsid w:val="4BA351E6"/>
    <w:rsid w:val="4BC39BD5"/>
    <w:rsid w:val="4BCC862A"/>
    <w:rsid w:val="4C088112"/>
    <w:rsid w:val="4C3EA75F"/>
    <w:rsid w:val="4C7F757B"/>
    <w:rsid w:val="4C8C6B92"/>
    <w:rsid w:val="4C922276"/>
    <w:rsid w:val="4CB45ED8"/>
    <w:rsid w:val="4CB5DA55"/>
    <w:rsid w:val="4CC621A3"/>
    <w:rsid w:val="4CD489AF"/>
    <w:rsid w:val="4CEDCBB5"/>
    <w:rsid w:val="4CF1B6BF"/>
    <w:rsid w:val="4D139A67"/>
    <w:rsid w:val="4D31C7B8"/>
    <w:rsid w:val="4D5671DA"/>
    <w:rsid w:val="4D947156"/>
    <w:rsid w:val="4D9712AB"/>
    <w:rsid w:val="4D9C4A44"/>
    <w:rsid w:val="4DA958C5"/>
    <w:rsid w:val="4DA970DF"/>
    <w:rsid w:val="4DB47682"/>
    <w:rsid w:val="4DB94A64"/>
    <w:rsid w:val="4DEF1A14"/>
    <w:rsid w:val="4DF2D0A7"/>
    <w:rsid w:val="4E35FD57"/>
    <w:rsid w:val="4E42CCC4"/>
    <w:rsid w:val="4E66396B"/>
    <w:rsid w:val="4E6ED58A"/>
    <w:rsid w:val="4E721F7D"/>
    <w:rsid w:val="4E81A3F8"/>
    <w:rsid w:val="4E91A36F"/>
    <w:rsid w:val="4E9D9879"/>
    <w:rsid w:val="4EA4EE87"/>
    <w:rsid w:val="4EDC03A3"/>
    <w:rsid w:val="4EE38D1C"/>
    <w:rsid w:val="4EF66588"/>
    <w:rsid w:val="4F6869A9"/>
    <w:rsid w:val="4F792A34"/>
    <w:rsid w:val="4FA9AA6F"/>
    <w:rsid w:val="4FAB4C8B"/>
    <w:rsid w:val="4FC2CE0D"/>
    <w:rsid w:val="4FD21FCD"/>
    <w:rsid w:val="5011C238"/>
    <w:rsid w:val="501E80AE"/>
    <w:rsid w:val="504EB846"/>
    <w:rsid w:val="5054A2C7"/>
    <w:rsid w:val="50A4A3E0"/>
    <w:rsid w:val="50AEFBCD"/>
    <w:rsid w:val="50E3BC3B"/>
    <w:rsid w:val="50E4DB0D"/>
    <w:rsid w:val="510004C2"/>
    <w:rsid w:val="511C14B6"/>
    <w:rsid w:val="51516C13"/>
    <w:rsid w:val="51CF531F"/>
    <w:rsid w:val="51D5422A"/>
    <w:rsid w:val="51EDD00F"/>
    <w:rsid w:val="51F8C84D"/>
    <w:rsid w:val="5212DB17"/>
    <w:rsid w:val="522DA9B0"/>
    <w:rsid w:val="52452CA8"/>
    <w:rsid w:val="5258738A"/>
    <w:rsid w:val="529FBD52"/>
    <w:rsid w:val="52F73338"/>
    <w:rsid w:val="5306D54C"/>
    <w:rsid w:val="53553C6C"/>
    <w:rsid w:val="53603467"/>
    <w:rsid w:val="5370B45F"/>
    <w:rsid w:val="538B38B0"/>
    <w:rsid w:val="53C0AB50"/>
    <w:rsid w:val="53C152A8"/>
    <w:rsid w:val="53C456DF"/>
    <w:rsid w:val="53D5F805"/>
    <w:rsid w:val="53E7B227"/>
    <w:rsid w:val="540091B8"/>
    <w:rsid w:val="541F5CA0"/>
    <w:rsid w:val="544E83FE"/>
    <w:rsid w:val="54A700F7"/>
    <w:rsid w:val="54AD8224"/>
    <w:rsid w:val="54BF4FFA"/>
    <w:rsid w:val="54DB28D0"/>
    <w:rsid w:val="54ED61B1"/>
    <w:rsid w:val="550DF9DC"/>
    <w:rsid w:val="552D02FC"/>
    <w:rsid w:val="55332A1F"/>
    <w:rsid w:val="5562DD3E"/>
    <w:rsid w:val="5569EE19"/>
    <w:rsid w:val="55ABBCDF"/>
    <w:rsid w:val="55F71AF6"/>
    <w:rsid w:val="56030C82"/>
    <w:rsid w:val="560BC138"/>
    <w:rsid w:val="560EB393"/>
    <w:rsid w:val="560FC015"/>
    <w:rsid w:val="56152B1B"/>
    <w:rsid w:val="56300D55"/>
    <w:rsid w:val="56496BD7"/>
    <w:rsid w:val="5665856A"/>
    <w:rsid w:val="5667923E"/>
    <w:rsid w:val="5677C46A"/>
    <w:rsid w:val="5681A129"/>
    <w:rsid w:val="56B4AEA5"/>
    <w:rsid w:val="56C82BAF"/>
    <w:rsid w:val="56EB75A4"/>
    <w:rsid w:val="56FC184D"/>
    <w:rsid w:val="5705D823"/>
    <w:rsid w:val="5730C911"/>
    <w:rsid w:val="57336285"/>
    <w:rsid w:val="574AE9E0"/>
    <w:rsid w:val="5777CC08"/>
    <w:rsid w:val="577DF9D1"/>
    <w:rsid w:val="5786AA86"/>
    <w:rsid w:val="57888029"/>
    <w:rsid w:val="5794C8DA"/>
    <w:rsid w:val="57A0B4E4"/>
    <w:rsid w:val="57A7AE85"/>
    <w:rsid w:val="5802C843"/>
    <w:rsid w:val="58151147"/>
    <w:rsid w:val="58292F68"/>
    <w:rsid w:val="582AD6B3"/>
    <w:rsid w:val="582F5452"/>
    <w:rsid w:val="5868C268"/>
    <w:rsid w:val="586B5CB6"/>
    <w:rsid w:val="588016F2"/>
    <w:rsid w:val="588D1030"/>
    <w:rsid w:val="58A410FC"/>
    <w:rsid w:val="58AD9838"/>
    <w:rsid w:val="58C8EF22"/>
    <w:rsid w:val="58CFCA5E"/>
    <w:rsid w:val="58E542DD"/>
    <w:rsid w:val="59250C6F"/>
    <w:rsid w:val="5928D3DB"/>
    <w:rsid w:val="5957F214"/>
    <w:rsid w:val="598974FF"/>
    <w:rsid w:val="59B2E8F7"/>
    <w:rsid w:val="59BC67A0"/>
    <w:rsid w:val="59EF5BE3"/>
    <w:rsid w:val="59F1B44F"/>
    <w:rsid w:val="5A187FEB"/>
    <w:rsid w:val="5A45CF42"/>
    <w:rsid w:val="5A634892"/>
    <w:rsid w:val="5AC4F261"/>
    <w:rsid w:val="5AC5A745"/>
    <w:rsid w:val="5B0A974A"/>
    <w:rsid w:val="5B0AD5E3"/>
    <w:rsid w:val="5B1F5186"/>
    <w:rsid w:val="5B5F09C2"/>
    <w:rsid w:val="5B885F25"/>
    <w:rsid w:val="5B99D765"/>
    <w:rsid w:val="5BA0512F"/>
    <w:rsid w:val="5BBA9A4B"/>
    <w:rsid w:val="5BBAA1D2"/>
    <w:rsid w:val="5BE75257"/>
    <w:rsid w:val="5BF5241E"/>
    <w:rsid w:val="5BF92635"/>
    <w:rsid w:val="5C094CA7"/>
    <w:rsid w:val="5C0D9CD6"/>
    <w:rsid w:val="5C23668B"/>
    <w:rsid w:val="5C41E4D3"/>
    <w:rsid w:val="5CD831A4"/>
    <w:rsid w:val="5CED8D96"/>
    <w:rsid w:val="5CEF8B89"/>
    <w:rsid w:val="5D4A9CCA"/>
    <w:rsid w:val="5D515B60"/>
    <w:rsid w:val="5D5CEE64"/>
    <w:rsid w:val="5D602EF2"/>
    <w:rsid w:val="5D6E3DE8"/>
    <w:rsid w:val="5D8B64D9"/>
    <w:rsid w:val="5D9F6DCA"/>
    <w:rsid w:val="5DAC9D76"/>
    <w:rsid w:val="5DC25558"/>
    <w:rsid w:val="5DC79E79"/>
    <w:rsid w:val="5DE3679F"/>
    <w:rsid w:val="5E058A41"/>
    <w:rsid w:val="5E3961C4"/>
    <w:rsid w:val="5E4C4275"/>
    <w:rsid w:val="5E54AC6B"/>
    <w:rsid w:val="5E6CBD36"/>
    <w:rsid w:val="5E82CE45"/>
    <w:rsid w:val="5E8FB2FE"/>
    <w:rsid w:val="5EB17B0B"/>
    <w:rsid w:val="5EB5A493"/>
    <w:rsid w:val="5F0A1C61"/>
    <w:rsid w:val="5F0A90F8"/>
    <w:rsid w:val="5F292AEA"/>
    <w:rsid w:val="5F2EEB03"/>
    <w:rsid w:val="5F34BB26"/>
    <w:rsid w:val="5F733D28"/>
    <w:rsid w:val="5F7A3FD2"/>
    <w:rsid w:val="5F7B1CBD"/>
    <w:rsid w:val="5FA17544"/>
    <w:rsid w:val="5FBE404E"/>
    <w:rsid w:val="6006AFD1"/>
    <w:rsid w:val="6017F1C2"/>
    <w:rsid w:val="6050222D"/>
    <w:rsid w:val="605B4E00"/>
    <w:rsid w:val="60619C5C"/>
    <w:rsid w:val="6092C2C9"/>
    <w:rsid w:val="60A6934B"/>
    <w:rsid w:val="60C24D8C"/>
    <w:rsid w:val="60C6E97D"/>
    <w:rsid w:val="60C9475D"/>
    <w:rsid w:val="60C99160"/>
    <w:rsid w:val="60D04B50"/>
    <w:rsid w:val="60E8EE21"/>
    <w:rsid w:val="60E991FC"/>
    <w:rsid w:val="60F88BF2"/>
    <w:rsid w:val="6118ACAF"/>
    <w:rsid w:val="61253A9F"/>
    <w:rsid w:val="6126698F"/>
    <w:rsid w:val="612FB7DB"/>
    <w:rsid w:val="613A6820"/>
    <w:rsid w:val="614C1602"/>
    <w:rsid w:val="61617022"/>
    <w:rsid w:val="6166B81B"/>
    <w:rsid w:val="6167304C"/>
    <w:rsid w:val="618EDCE3"/>
    <w:rsid w:val="61A671A9"/>
    <w:rsid w:val="61C8D846"/>
    <w:rsid w:val="61CAB857"/>
    <w:rsid w:val="61E34F5B"/>
    <w:rsid w:val="61F32DF8"/>
    <w:rsid w:val="6215B9D1"/>
    <w:rsid w:val="6230028E"/>
    <w:rsid w:val="624102E6"/>
    <w:rsid w:val="625D2486"/>
    <w:rsid w:val="6299645E"/>
    <w:rsid w:val="629BED26"/>
    <w:rsid w:val="62D7CC18"/>
    <w:rsid w:val="62E5ABBD"/>
    <w:rsid w:val="62F016FE"/>
    <w:rsid w:val="62F833FC"/>
    <w:rsid w:val="62FEFAFC"/>
    <w:rsid w:val="6309D49D"/>
    <w:rsid w:val="63178149"/>
    <w:rsid w:val="6331CEBF"/>
    <w:rsid w:val="635A2A8E"/>
    <w:rsid w:val="635DEA11"/>
    <w:rsid w:val="63798092"/>
    <w:rsid w:val="63945083"/>
    <w:rsid w:val="6394D537"/>
    <w:rsid w:val="641E9C01"/>
    <w:rsid w:val="64278BB2"/>
    <w:rsid w:val="64392DFD"/>
    <w:rsid w:val="6446DB2D"/>
    <w:rsid w:val="64644FA4"/>
    <w:rsid w:val="647DBFA6"/>
    <w:rsid w:val="647FE887"/>
    <w:rsid w:val="6481B987"/>
    <w:rsid w:val="64849485"/>
    <w:rsid w:val="648E8497"/>
    <w:rsid w:val="6493FA4E"/>
    <w:rsid w:val="649A487B"/>
    <w:rsid w:val="649B0C70"/>
    <w:rsid w:val="64BED6D3"/>
    <w:rsid w:val="64C972FD"/>
    <w:rsid w:val="651E75E6"/>
    <w:rsid w:val="653368E8"/>
    <w:rsid w:val="653C547C"/>
    <w:rsid w:val="65617484"/>
    <w:rsid w:val="6575B957"/>
    <w:rsid w:val="659F2BA3"/>
    <w:rsid w:val="65A93C23"/>
    <w:rsid w:val="65DF36BB"/>
    <w:rsid w:val="65F47478"/>
    <w:rsid w:val="660A0B8C"/>
    <w:rsid w:val="660AD3A7"/>
    <w:rsid w:val="663D3277"/>
    <w:rsid w:val="66618BD2"/>
    <w:rsid w:val="6671124F"/>
    <w:rsid w:val="66844FFC"/>
    <w:rsid w:val="66B84DF6"/>
    <w:rsid w:val="66C8A35F"/>
    <w:rsid w:val="66D3BDAC"/>
    <w:rsid w:val="66DAA12A"/>
    <w:rsid w:val="6723E283"/>
    <w:rsid w:val="6738D2E4"/>
    <w:rsid w:val="673A994C"/>
    <w:rsid w:val="674EF665"/>
    <w:rsid w:val="67537C9D"/>
    <w:rsid w:val="67599CCE"/>
    <w:rsid w:val="67815D1E"/>
    <w:rsid w:val="679E38B8"/>
    <w:rsid w:val="67A15C33"/>
    <w:rsid w:val="67A8392E"/>
    <w:rsid w:val="67E430EC"/>
    <w:rsid w:val="681E0270"/>
    <w:rsid w:val="684AB9B3"/>
    <w:rsid w:val="6858B7FD"/>
    <w:rsid w:val="6877C725"/>
    <w:rsid w:val="687BE1C9"/>
    <w:rsid w:val="687EF0CA"/>
    <w:rsid w:val="6880B071"/>
    <w:rsid w:val="688CB002"/>
    <w:rsid w:val="68FBC59F"/>
    <w:rsid w:val="690ACA03"/>
    <w:rsid w:val="69280C09"/>
    <w:rsid w:val="696F9A24"/>
    <w:rsid w:val="6986A465"/>
    <w:rsid w:val="699DFB0D"/>
    <w:rsid w:val="69A05A69"/>
    <w:rsid w:val="69CFCB57"/>
    <w:rsid w:val="69E85B41"/>
    <w:rsid w:val="69FB1EEA"/>
    <w:rsid w:val="6A17096F"/>
    <w:rsid w:val="6A2A2B02"/>
    <w:rsid w:val="6A3383E6"/>
    <w:rsid w:val="6A59DBFA"/>
    <w:rsid w:val="6A6A0441"/>
    <w:rsid w:val="6A7713BE"/>
    <w:rsid w:val="6A79BD06"/>
    <w:rsid w:val="6A888D4A"/>
    <w:rsid w:val="6A8B3A32"/>
    <w:rsid w:val="6AB3B439"/>
    <w:rsid w:val="6AC9AF17"/>
    <w:rsid w:val="6AF10A2F"/>
    <w:rsid w:val="6B02C0EA"/>
    <w:rsid w:val="6B351D19"/>
    <w:rsid w:val="6B3CB090"/>
    <w:rsid w:val="6B3F597F"/>
    <w:rsid w:val="6BEC45E2"/>
    <w:rsid w:val="6BF308BF"/>
    <w:rsid w:val="6C026923"/>
    <w:rsid w:val="6C0EDF50"/>
    <w:rsid w:val="6C4170F1"/>
    <w:rsid w:val="6C683844"/>
    <w:rsid w:val="6C7242B8"/>
    <w:rsid w:val="6C80CD2D"/>
    <w:rsid w:val="6CA2F9CB"/>
    <w:rsid w:val="6CA5F624"/>
    <w:rsid w:val="6D0B1438"/>
    <w:rsid w:val="6D18FDD5"/>
    <w:rsid w:val="6D3512C5"/>
    <w:rsid w:val="6D3532B9"/>
    <w:rsid w:val="6D48F9F8"/>
    <w:rsid w:val="6D56853A"/>
    <w:rsid w:val="6D7B05D3"/>
    <w:rsid w:val="6D82175E"/>
    <w:rsid w:val="6DD6985B"/>
    <w:rsid w:val="6DF9B019"/>
    <w:rsid w:val="6DFAD4FD"/>
    <w:rsid w:val="6DFC987B"/>
    <w:rsid w:val="6E15CD5F"/>
    <w:rsid w:val="6E58F520"/>
    <w:rsid w:val="6E6A1853"/>
    <w:rsid w:val="6E88B357"/>
    <w:rsid w:val="6E9D302A"/>
    <w:rsid w:val="6ECA3D16"/>
    <w:rsid w:val="6ED2323A"/>
    <w:rsid w:val="6EEDB4B2"/>
    <w:rsid w:val="6F0B4A9B"/>
    <w:rsid w:val="6F0FB080"/>
    <w:rsid w:val="6F15FCF0"/>
    <w:rsid w:val="6F3C1673"/>
    <w:rsid w:val="6F45F7AB"/>
    <w:rsid w:val="6F6E5100"/>
    <w:rsid w:val="6FA578F0"/>
    <w:rsid w:val="6FDA3A8C"/>
    <w:rsid w:val="6FDB018F"/>
    <w:rsid w:val="6FFD38A1"/>
    <w:rsid w:val="700A7BB5"/>
    <w:rsid w:val="702A3623"/>
    <w:rsid w:val="702CBF5E"/>
    <w:rsid w:val="7046EA55"/>
    <w:rsid w:val="7048FA4D"/>
    <w:rsid w:val="707C0422"/>
    <w:rsid w:val="7096CDBF"/>
    <w:rsid w:val="70B87D70"/>
    <w:rsid w:val="70EE6F5C"/>
    <w:rsid w:val="7162B5ED"/>
    <w:rsid w:val="7193ECBD"/>
    <w:rsid w:val="719B6BEF"/>
    <w:rsid w:val="71A37430"/>
    <w:rsid w:val="71AC0C9C"/>
    <w:rsid w:val="71B0DEAF"/>
    <w:rsid w:val="71B16716"/>
    <w:rsid w:val="71B3FA33"/>
    <w:rsid w:val="71D73B20"/>
    <w:rsid w:val="7259A20D"/>
    <w:rsid w:val="727D568B"/>
    <w:rsid w:val="72B0B275"/>
    <w:rsid w:val="72C37EF2"/>
    <w:rsid w:val="72E5109D"/>
    <w:rsid w:val="72EAB586"/>
    <w:rsid w:val="7309AEB6"/>
    <w:rsid w:val="730CBFB9"/>
    <w:rsid w:val="7324E42E"/>
    <w:rsid w:val="73318F70"/>
    <w:rsid w:val="734CAF10"/>
    <w:rsid w:val="73E0F1F1"/>
    <w:rsid w:val="73E88EF1"/>
    <w:rsid w:val="740D4F35"/>
    <w:rsid w:val="742B8BE3"/>
    <w:rsid w:val="7445A8BF"/>
    <w:rsid w:val="74791AB6"/>
    <w:rsid w:val="74881376"/>
    <w:rsid w:val="74B2FDEC"/>
    <w:rsid w:val="74C10284"/>
    <w:rsid w:val="74EFD07A"/>
    <w:rsid w:val="75163260"/>
    <w:rsid w:val="7532D38E"/>
    <w:rsid w:val="75384FF0"/>
    <w:rsid w:val="754C83F9"/>
    <w:rsid w:val="755A6E8C"/>
    <w:rsid w:val="757BC213"/>
    <w:rsid w:val="757DE6AA"/>
    <w:rsid w:val="75BE22D4"/>
    <w:rsid w:val="75E149B6"/>
    <w:rsid w:val="7612F9F3"/>
    <w:rsid w:val="761550B9"/>
    <w:rsid w:val="762667E3"/>
    <w:rsid w:val="762EAA4A"/>
    <w:rsid w:val="763CC986"/>
    <w:rsid w:val="764318F1"/>
    <w:rsid w:val="76492902"/>
    <w:rsid w:val="7652D980"/>
    <w:rsid w:val="768CA1FF"/>
    <w:rsid w:val="768E12FB"/>
    <w:rsid w:val="7691982A"/>
    <w:rsid w:val="76C543C4"/>
    <w:rsid w:val="770C289C"/>
    <w:rsid w:val="7717913E"/>
    <w:rsid w:val="772A4EEA"/>
    <w:rsid w:val="772BB26A"/>
    <w:rsid w:val="7755F726"/>
    <w:rsid w:val="775E0771"/>
    <w:rsid w:val="777B6CC4"/>
    <w:rsid w:val="7799BF25"/>
    <w:rsid w:val="77A99936"/>
    <w:rsid w:val="77B84457"/>
    <w:rsid w:val="77CE6F09"/>
    <w:rsid w:val="77E58372"/>
    <w:rsid w:val="77EE67EC"/>
    <w:rsid w:val="77FC1A9B"/>
    <w:rsid w:val="780C979B"/>
    <w:rsid w:val="781532E9"/>
    <w:rsid w:val="781C2424"/>
    <w:rsid w:val="784F8D47"/>
    <w:rsid w:val="785F22D5"/>
    <w:rsid w:val="78613858"/>
    <w:rsid w:val="7898580C"/>
    <w:rsid w:val="78B7D081"/>
    <w:rsid w:val="78BD75C9"/>
    <w:rsid w:val="78FFD3CD"/>
    <w:rsid w:val="790F8442"/>
    <w:rsid w:val="795D85C9"/>
    <w:rsid w:val="79977715"/>
    <w:rsid w:val="799915B3"/>
    <w:rsid w:val="7A06DBD0"/>
    <w:rsid w:val="7A1FAEC1"/>
    <w:rsid w:val="7A3DB8AE"/>
    <w:rsid w:val="7AC4400A"/>
    <w:rsid w:val="7AC4BA53"/>
    <w:rsid w:val="7AF5DE4C"/>
    <w:rsid w:val="7B31C73C"/>
    <w:rsid w:val="7B4AB4FE"/>
    <w:rsid w:val="7B5A8ADF"/>
    <w:rsid w:val="7B88BA86"/>
    <w:rsid w:val="7B9BF339"/>
    <w:rsid w:val="7BB15752"/>
    <w:rsid w:val="7BFD4700"/>
    <w:rsid w:val="7C113C0B"/>
    <w:rsid w:val="7C2CC160"/>
    <w:rsid w:val="7C3A6BD6"/>
    <w:rsid w:val="7C5A54F5"/>
    <w:rsid w:val="7C5B3593"/>
    <w:rsid w:val="7C6FEE56"/>
    <w:rsid w:val="7C9BEDE1"/>
    <w:rsid w:val="7C9EF138"/>
    <w:rsid w:val="7CA4FD13"/>
    <w:rsid w:val="7D0D84D3"/>
    <w:rsid w:val="7D1C39B5"/>
    <w:rsid w:val="7D60DD1A"/>
    <w:rsid w:val="7D7F528F"/>
    <w:rsid w:val="7D8D2846"/>
    <w:rsid w:val="7D993747"/>
    <w:rsid w:val="7DDAA166"/>
    <w:rsid w:val="7DEB8329"/>
    <w:rsid w:val="7DFEE90F"/>
    <w:rsid w:val="7E028462"/>
    <w:rsid w:val="7E02D512"/>
    <w:rsid w:val="7E0EAC99"/>
    <w:rsid w:val="7E1F8944"/>
    <w:rsid w:val="7E6FBDB4"/>
    <w:rsid w:val="7E78C093"/>
    <w:rsid w:val="7E7F42E5"/>
    <w:rsid w:val="7E8372B5"/>
    <w:rsid w:val="7E94BF87"/>
    <w:rsid w:val="7EA13AF0"/>
    <w:rsid w:val="7EC03DC5"/>
    <w:rsid w:val="7ED522EF"/>
    <w:rsid w:val="7F09A855"/>
    <w:rsid w:val="7F25CFA7"/>
    <w:rsid w:val="7F52EDFF"/>
    <w:rsid w:val="7FA32E62"/>
    <w:rsid w:val="7FB46DDC"/>
    <w:rsid w:val="7FD13714"/>
    <w:rsid w:val="7FD68B96"/>
    <w:rsid w:val="7FD98941"/>
    <w:rsid w:val="7FE99A5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D3546"/>
  <w15:docId w15:val="{56AD7DB8-5644-44CC-8728-02F44394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7B8"/>
    <w:pPr>
      <w:spacing w:after="0" w:line="240" w:lineRule="auto"/>
    </w:pPr>
    <w:rPr>
      <w:rFonts w:ascii="Arial" w:hAnsi="Arial"/>
    </w:rPr>
  </w:style>
  <w:style w:type="paragraph" w:styleId="Heading1">
    <w:name w:val="heading 1"/>
    <w:basedOn w:val="Normal"/>
    <w:next w:val="Normal"/>
    <w:link w:val="Heading1Char"/>
    <w:autoRedefine/>
    <w:uiPriority w:val="9"/>
    <w:qFormat/>
    <w:rsid w:val="00485877"/>
    <w:pPr>
      <w:keepNext/>
      <w:keepLines/>
      <w:numPr>
        <w:numId w:val="9"/>
      </w:numPr>
      <w:spacing w:before="240"/>
      <w:outlineLvl w:val="0"/>
    </w:pPr>
    <w:rPr>
      <w:rFonts w:eastAsiaTheme="majorEastAsia" w:cstheme="majorBidi"/>
      <w:color w:val="00A5DF"/>
      <w:sz w:val="32"/>
      <w:szCs w:val="32"/>
    </w:rPr>
  </w:style>
  <w:style w:type="paragraph" w:styleId="Heading2">
    <w:name w:val="heading 2"/>
    <w:basedOn w:val="Normal"/>
    <w:next w:val="Normal"/>
    <w:link w:val="Heading2Char"/>
    <w:autoRedefine/>
    <w:uiPriority w:val="9"/>
    <w:unhideWhenUsed/>
    <w:qFormat/>
    <w:rsid w:val="00E144FC"/>
    <w:pPr>
      <w:keepNext/>
      <w:keepLines/>
      <w:spacing w:before="40"/>
      <w:outlineLvl w:val="1"/>
    </w:pPr>
    <w:rPr>
      <w:rFonts w:eastAsiaTheme="majorEastAsia" w:cstheme="majorBidi"/>
      <w:b/>
      <w:bCs/>
      <w:color w:val="007BA7" w:themeColor="accent1" w:themeShade="BF"/>
      <w:sz w:val="26"/>
      <w:szCs w:val="26"/>
    </w:rPr>
  </w:style>
  <w:style w:type="paragraph" w:styleId="Heading3">
    <w:name w:val="heading 3"/>
    <w:basedOn w:val="Normal"/>
    <w:next w:val="Normal"/>
    <w:link w:val="Heading3Char"/>
    <w:autoRedefine/>
    <w:uiPriority w:val="9"/>
    <w:unhideWhenUsed/>
    <w:qFormat/>
    <w:rsid w:val="006928ED"/>
    <w:pPr>
      <w:keepNext/>
      <w:keepLines/>
      <w:spacing w:before="40"/>
      <w:outlineLvl w:val="2"/>
    </w:pPr>
    <w:rPr>
      <w:rFonts w:eastAsiaTheme="majorEastAsia" w:cstheme="majorBidi"/>
      <w:color w:val="00516F" w:themeColor="accent1" w:themeShade="7F"/>
      <w:sz w:val="24"/>
      <w:szCs w:val="24"/>
    </w:rPr>
  </w:style>
  <w:style w:type="paragraph" w:styleId="Heading4">
    <w:name w:val="heading 4"/>
    <w:basedOn w:val="Normal"/>
    <w:next w:val="Normal"/>
    <w:link w:val="Heading4Char"/>
    <w:autoRedefine/>
    <w:uiPriority w:val="9"/>
    <w:unhideWhenUsed/>
    <w:qFormat/>
    <w:rsid w:val="00FD7E4E"/>
    <w:pPr>
      <w:keepNext/>
      <w:keepLines/>
      <w:tabs>
        <w:tab w:val="num" w:pos="1008"/>
      </w:tabs>
      <w:spacing w:before="40"/>
      <w:outlineLvl w:val="3"/>
    </w:pPr>
    <w:rPr>
      <w:rFonts w:eastAsiaTheme="majorEastAsia" w:cstheme="majorBidi"/>
      <w:i/>
      <w:iCs/>
      <w:color w:val="007BA7" w:themeColor="accent1" w:themeShade="BF"/>
    </w:rPr>
  </w:style>
  <w:style w:type="paragraph" w:styleId="Heading5">
    <w:name w:val="heading 5"/>
    <w:basedOn w:val="Heading4"/>
    <w:next w:val="Normal"/>
    <w:link w:val="Heading5Char"/>
    <w:autoRedefine/>
    <w:uiPriority w:val="9"/>
    <w:unhideWhenUsed/>
    <w:qFormat/>
    <w:rsid w:val="00D41E6A"/>
    <w:pPr>
      <w:tabs>
        <w:tab w:val="clear" w:pos="1008"/>
      </w:tabs>
      <w:outlineLvl w:val="4"/>
    </w:pPr>
    <w:rPr>
      <w:i w:val="0"/>
      <w:color w:val="777777"/>
    </w:rPr>
  </w:style>
  <w:style w:type="paragraph" w:styleId="Heading6">
    <w:name w:val="heading 6"/>
    <w:basedOn w:val="Heading5"/>
    <w:next w:val="Normal"/>
    <w:link w:val="Heading6Char"/>
    <w:autoRedefine/>
    <w:uiPriority w:val="9"/>
    <w:unhideWhenUsed/>
    <w:qFormat/>
    <w:rsid w:val="006F77B8"/>
    <w:pPr>
      <w:numPr>
        <w:ilvl w:val="5"/>
        <w:numId w:val="5"/>
      </w:numPr>
      <w:outlineLvl w:val="5"/>
    </w:pPr>
    <w:rPr>
      <w:color w:val="auto"/>
    </w:rPr>
  </w:style>
  <w:style w:type="paragraph" w:styleId="Heading7">
    <w:name w:val="heading 7"/>
    <w:basedOn w:val="Normal"/>
    <w:next w:val="Normal"/>
    <w:link w:val="Heading7Char"/>
    <w:uiPriority w:val="9"/>
    <w:semiHidden/>
    <w:unhideWhenUsed/>
    <w:qFormat/>
    <w:rsid w:val="006F77B8"/>
    <w:pPr>
      <w:keepNext/>
      <w:keepLines/>
      <w:numPr>
        <w:ilvl w:val="6"/>
        <w:numId w:val="4"/>
      </w:numPr>
      <w:spacing w:before="40"/>
      <w:outlineLvl w:val="6"/>
    </w:pPr>
    <w:rPr>
      <w:rFonts w:asciiTheme="majorHAnsi" w:eastAsiaTheme="majorEastAsia" w:hAnsiTheme="majorHAnsi" w:cstheme="majorBidi"/>
      <w:i/>
      <w:iCs/>
      <w:color w:val="00516F" w:themeColor="accent1" w:themeShade="7F"/>
    </w:rPr>
  </w:style>
  <w:style w:type="paragraph" w:styleId="Heading8">
    <w:name w:val="heading 8"/>
    <w:basedOn w:val="Normal"/>
    <w:next w:val="Normal"/>
    <w:link w:val="Heading8Char"/>
    <w:uiPriority w:val="9"/>
    <w:semiHidden/>
    <w:unhideWhenUsed/>
    <w:qFormat/>
    <w:rsid w:val="006F77B8"/>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F77B8"/>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A20"/>
    <w:pPr>
      <w:ind w:left="720"/>
      <w:contextualSpacing/>
    </w:pPr>
    <w:rPr>
      <w:rFonts w:cs="Times New Roman"/>
    </w:rPr>
  </w:style>
  <w:style w:type="numbering" w:customStyle="1" w:styleId="Style1">
    <w:name w:val="Style1"/>
    <w:uiPriority w:val="99"/>
    <w:rsid w:val="00B02A20"/>
  </w:style>
  <w:style w:type="character" w:customStyle="1" w:styleId="Heading1Char">
    <w:name w:val="Heading 1 Char"/>
    <w:basedOn w:val="DefaultParagraphFont"/>
    <w:link w:val="Heading1"/>
    <w:uiPriority w:val="9"/>
    <w:rsid w:val="00485877"/>
    <w:rPr>
      <w:rFonts w:ascii="Arial" w:eastAsiaTheme="majorEastAsia" w:hAnsi="Arial" w:cstheme="majorBidi"/>
      <w:color w:val="00A5DF"/>
      <w:sz w:val="32"/>
      <w:szCs w:val="32"/>
    </w:rPr>
  </w:style>
  <w:style w:type="character" w:customStyle="1" w:styleId="Heading2Char">
    <w:name w:val="Heading 2 Char"/>
    <w:basedOn w:val="DefaultParagraphFont"/>
    <w:link w:val="Heading2"/>
    <w:uiPriority w:val="9"/>
    <w:rsid w:val="00E144FC"/>
    <w:rPr>
      <w:rFonts w:ascii="Arial" w:eastAsiaTheme="majorEastAsia" w:hAnsi="Arial" w:cstheme="majorBidi"/>
      <w:b/>
      <w:bCs/>
      <w:color w:val="007BA7" w:themeColor="accent1" w:themeShade="BF"/>
      <w:sz w:val="26"/>
      <w:szCs w:val="26"/>
    </w:rPr>
  </w:style>
  <w:style w:type="character" w:customStyle="1" w:styleId="Heading3Char">
    <w:name w:val="Heading 3 Char"/>
    <w:basedOn w:val="DefaultParagraphFont"/>
    <w:link w:val="Heading3"/>
    <w:uiPriority w:val="9"/>
    <w:rsid w:val="006928ED"/>
    <w:rPr>
      <w:rFonts w:ascii="Arial" w:eastAsiaTheme="majorEastAsia" w:hAnsi="Arial" w:cstheme="majorBidi"/>
      <w:color w:val="00516F" w:themeColor="accent1" w:themeShade="7F"/>
      <w:sz w:val="24"/>
      <w:szCs w:val="24"/>
    </w:rPr>
  </w:style>
  <w:style w:type="character" w:styleId="CommentReference">
    <w:name w:val="annotation reference"/>
    <w:basedOn w:val="DefaultParagraphFont"/>
    <w:uiPriority w:val="99"/>
    <w:semiHidden/>
    <w:unhideWhenUsed/>
    <w:rsid w:val="00B02A20"/>
    <w:rPr>
      <w:sz w:val="16"/>
      <w:szCs w:val="16"/>
    </w:rPr>
  </w:style>
  <w:style w:type="paragraph" w:styleId="CommentText">
    <w:name w:val="annotation text"/>
    <w:basedOn w:val="Normal"/>
    <w:link w:val="CommentTextChar"/>
    <w:uiPriority w:val="99"/>
    <w:unhideWhenUsed/>
    <w:rsid w:val="00B02A20"/>
    <w:rPr>
      <w:rFonts w:ascii="Calibri" w:eastAsiaTheme="majorEastAsia" w:hAnsi="Calibri" w:cs="Calibri"/>
      <w:sz w:val="20"/>
      <w:szCs w:val="20"/>
    </w:rPr>
  </w:style>
  <w:style w:type="character" w:customStyle="1" w:styleId="CommentTextChar">
    <w:name w:val="Comment Text Char"/>
    <w:basedOn w:val="DefaultParagraphFont"/>
    <w:link w:val="CommentText"/>
    <w:uiPriority w:val="99"/>
    <w:rsid w:val="00B02A20"/>
    <w:rPr>
      <w:rFonts w:ascii="Calibri" w:eastAsiaTheme="majorEastAsia" w:hAnsi="Calibri" w:cs="Calibri"/>
      <w:sz w:val="20"/>
      <w:szCs w:val="20"/>
    </w:rPr>
  </w:style>
  <w:style w:type="paragraph" w:styleId="BalloonText">
    <w:name w:val="Balloon Text"/>
    <w:basedOn w:val="Normal"/>
    <w:link w:val="BalloonTextChar"/>
    <w:semiHidden/>
    <w:unhideWhenUsed/>
    <w:rsid w:val="00B02A20"/>
    <w:rPr>
      <w:rFonts w:ascii="Tahoma" w:hAnsi="Tahoma" w:cs="Tahoma"/>
      <w:sz w:val="16"/>
      <w:szCs w:val="16"/>
    </w:rPr>
  </w:style>
  <w:style w:type="character" w:customStyle="1" w:styleId="BalloonTextChar">
    <w:name w:val="Balloon Text Char"/>
    <w:basedOn w:val="DefaultParagraphFont"/>
    <w:link w:val="BalloonText"/>
    <w:semiHidden/>
    <w:rsid w:val="00B02A20"/>
    <w:rPr>
      <w:rFonts w:ascii="Tahoma" w:hAnsi="Tahoma" w:cs="Tahoma"/>
      <w:sz w:val="16"/>
      <w:szCs w:val="16"/>
    </w:rPr>
  </w:style>
  <w:style w:type="character" w:styleId="Hyperlink">
    <w:name w:val="Hyperlink"/>
    <w:basedOn w:val="DefaultParagraphFont"/>
    <w:uiPriority w:val="99"/>
    <w:unhideWhenUsed/>
    <w:rsid w:val="00B02A20"/>
    <w:rPr>
      <w:color w:val="0000FF" w:themeColor="hyperlink"/>
      <w:u w:val="single"/>
    </w:rPr>
  </w:style>
  <w:style w:type="paragraph" w:styleId="FootnoteText">
    <w:name w:val="footnote text"/>
    <w:basedOn w:val="Normal"/>
    <w:link w:val="FootnoteTextChar"/>
    <w:uiPriority w:val="99"/>
    <w:unhideWhenUsed/>
    <w:rsid w:val="00B02A20"/>
    <w:rPr>
      <w:sz w:val="20"/>
      <w:szCs w:val="20"/>
    </w:rPr>
  </w:style>
  <w:style w:type="character" w:customStyle="1" w:styleId="FootnoteTextChar">
    <w:name w:val="Footnote Text Char"/>
    <w:basedOn w:val="DefaultParagraphFont"/>
    <w:link w:val="FootnoteText"/>
    <w:uiPriority w:val="99"/>
    <w:rsid w:val="00B02A20"/>
    <w:rPr>
      <w:rFonts w:ascii="Arial" w:hAnsi="Arial"/>
      <w:sz w:val="20"/>
      <w:szCs w:val="20"/>
    </w:rPr>
  </w:style>
  <w:style w:type="character" w:styleId="FootnoteReference">
    <w:name w:val="footnote reference"/>
    <w:basedOn w:val="DefaultParagraphFont"/>
    <w:uiPriority w:val="99"/>
    <w:unhideWhenUsed/>
    <w:rsid w:val="00B02A20"/>
    <w:rPr>
      <w:vertAlign w:val="superscript"/>
    </w:rPr>
  </w:style>
  <w:style w:type="paragraph" w:styleId="CommentSubject">
    <w:name w:val="annotation subject"/>
    <w:basedOn w:val="CommentText"/>
    <w:next w:val="CommentText"/>
    <w:link w:val="CommentSubjectChar"/>
    <w:uiPriority w:val="99"/>
    <w:semiHidden/>
    <w:unhideWhenUsed/>
    <w:rsid w:val="00B02A20"/>
    <w:rPr>
      <w:rFonts w:cstheme="minorHAnsi"/>
      <w:b/>
      <w:bCs/>
    </w:rPr>
  </w:style>
  <w:style w:type="character" w:customStyle="1" w:styleId="CommentSubjectChar">
    <w:name w:val="Comment Subject Char"/>
    <w:basedOn w:val="CommentTextChar"/>
    <w:link w:val="CommentSubject"/>
    <w:uiPriority w:val="99"/>
    <w:semiHidden/>
    <w:rsid w:val="00B02A20"/>
    <w:rPr>
      <w:rFonts w:ascii="Calibri" w:eastAsiaTheme="majorEastAsia" w:hAnsi="Calibri" w:cstheme="minorHAnsi"/>
      <w:b/>
      <w:bCs/>
      <w:sz w:val="20"/>
      <w:szCs w:val="20"/>
    </w:rPr>
  </w:style>
  <w:style w:type="table" w:styleId="TableGrid">
    <w:name w:val="Table Grid"/>
    <w:basedOn w:val="TableNormal"/>
    <w:uiPriority w:val="39"/>
    <w:rsid w:val="00B02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D7E4E"/>
    <w:rPr>
      <w:rFonts w:ascii="Arial" w:eastAsiaTheme="majorEastAsia" w:hAnsi="Arial" w:cstheme="majorBidi"/>
      <w:i/>
      <w:iCs/>
      <w:color w:val="007BA7" w:themeColor="accent1" w:themeShade="BF"/>
    </w:rPr>
  </w:style>
  <w:style w:type="character" w:customStyle="1" w:styleId="Heading5Char">
    <w:name w:val="Heading 5 Char"/>
    <w:basedOn w:val="DefaultParagraphFont"/>
    <w:link w:val="Heading5"/>
    <w:uiPriority w:val="9"/>
    <w:rsid w:val="00D41E6A"/>
    <w:rPr>
      <w:rFonts w:ascii="Arial" w:eastAsiaTheme="majorEastAsia" w:hAnsi="Arial" w:cstheme="majorBidi"/>
      <w:iCs/>
      <w:color w:val="777777"/>
    </w:rPr>
  </w:style>
  <w:style w:type="character" w:customStyle="1" w:styleId="Heading6Char">
    <w:name w:val="Heading 6 Char"/>
    <w:basedOn w:val="DefaultParagraphFont"/>
    <w:link w:val="Heading6"/>
    <w:uiPriority w:val="9"/>
    <w:rsid w:val="006F77B8"/>
    <w:rPr>
      <w:rFonts w:ascii="Arial" w:eastAsiaTheme="majorEastAsia" w:hAnsi="Arial" w:cstheme="majorBidi"/>
      <w:iCs/>
    </w:rPr>
  </w:style>
  <w:style w:type="table" w:customStyle="1" w:styleId="TableGrid1">
    <w:name w:val="Table Grid1"/>
    <w:basedOn w:val="TableNormal"/>
    <w:next w:val="TableGrid"/>
    <w:rsid w:val="00B02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next w:val="Normal"/>
    <w:uiPriority w:val="39"/>
    <w:unhideWhenUsed/>
    <w:qFormat/>
    <w:rsid w:val="006F77B8"/>
    <w:pPr>
      <w:spacing w:before="480"/>
    </w:pPr>
    <w:rPr>
      <w:rFonts w:ascii="Arial" w:eastAsiaTheme="majorEastAsia" w:hAnsi="Arial" w:cstheme="majorBidi"/>
      <w:color w:val="00A5DF"/>
      <w:sz w:val="32"/>
      <w:szCs w:val="32"/>
      <w:lang w:eastAsia="ja-JP"/>
    </w:rPr>
  </w:style>
  <w:style w:type="paragraph" w:styleId="TOC1">
    <w:name w:val="toc 1"/>
    <w:basedOn w:val="Normal"/>
    <w:next w:val="Normal"/>
    <w:autoRedefine/>
    <w:uiPriority w:val="39"/>
    <w:unhideWhenUsed/>
    <w:rsid w:val="00AE0DD4"/>
    <w:pPr>
      <w:tabs>
        <w:tab w:val="left" w:pos="1170"/>
        <w:tab w:val="right" w:leader="dot" w:pos="9350"/>
      </w:tabs>
      <w:spacing w:before="120"/>
    </w:pPr>
    <w:rPr>
      <w:rFonts w:asciiTheme="minorHAnsi" w:hAnsiTheme="minorHAnsi" w:cstheme="minorHAnsi"/>
      <w:b/>
      <w:bCs/>
      <w:noProof/>
      <w:color w:val="00B0F0"/>
      <w:szCs w:val="24"/>
    </w:rPr>
  </w:style>
  <w:style w:type="paragraph" w:styleId="TOC2">
    <w:name w:val="toc 2"/>
    <w:basedOn w:val="Normal"/>
    <w:next w:val="Normal"/>
    <w:autoRedefine/>
    <w:uiPriority w:val="39"/>
    <w:unhideWhenUsed/>
    <w:rsid w:val="008640DE"/>
    <w:pPr>
      <w:tabs>
        <w:tab w:val="right" w:leader="dot" w:pos="9350"/>
      </w:tabs>
      <w:ind w:left="220"/>
    </w:pPr>
    <w:rPr>
      <w:b/>
      <w:bCs/>
      <w:color w:val="00B0F0"/>
    </w:rPr>
  </w:style>
  <w:style w:type="paragraph" w:styleId="TOC3">
    <w:name w:val="toc 3"/>
    <w:basedOn w:val="Normal"/>
    <w:next w:val="Normal"/>
    <w:autoRedefine/>
    <w:uiPriority w:val="39"/>
    <w:unhideWhenUsed/>
    <w:rsid w:val="00143C70"/>
    <w:pPr>
      <w:ind w:left="440"/>
    </w:pPr>
    <w:rPr>
      <w:color w:val="00B0F0"/>
    </w:rPr>
  </w:style>
  <w:style w:type="paragraph" w:styleId="TOC4">
    <w:name w:val="toc 4"/>
    <w:basedOn w:val="Normal"/>
    <w:next w:val="Normal"/>
    <w:autoRedefine/>
    <w:uiPriority w:val="39"/>
    <w:unhideWhenUsed/>
    <w:rsid w:val="00B02A20"/>
    <w:pPr>
      <w:ind w:left="660"/>
    </w:pPr>
    <w:rPr>
      <w:sz w:val="20"/>
      <w:szCs w:val="20"/>
    </w:rPr>
  </w:style>
  <w:style w:type="paragraph" w:styleId="TOC5">
    <w:name w:val="toc 5"/>
    <w:basedOn w:val="Normal"/>
    <w:next w:val="Normal"/>
    <w:autoRedefine/>
    <w:uiPriority w:val="39"/>
    <w:unhideWhenUsed/>
    <w:rsid w:val="00B02A20"/>
    <w:pPr>
      <w:ind w:left="880"/>
    </w:pPr>
    <w:rPr>
      <w:sz w:val="20"/>
      <w:szCs w:val="20"/>
    </w:rPr>
  </w:style>
  <w:style w:type="paragraph" w:styleId="TOC6">
    <w:name w:val="toc 6"/>
    <w:basedOn w:val="Normal"/>
    <w:next w:val="Normal"/>
    <w:autoRedefine/>
    <w:uiPriority w:val="39"/>
    <w:unhideWhenUsed/>
    <w:rsid w:val="00B02A20"/>
    <w:pPr>
      <w:ind w:left="1100"/>
    </w:pPr>
    <w:rPr>
      <w:sz w:val="20"/>
      <w:szCs w:val="20"/>
    </w:rPr>
  </w:style>
  <w:style w:type="paragraph" w:styleId="TOC7">
    <w:name w:val="toc 7"/>
    <w:basedOn w:val="Normal"/>
    <w:next w:val="Normal"/>
    <w:autoRedefine/>
    <w:uiPriority w:val="39"/>
    <w:unhideWhenUsed/>
    <w:rsid w:val="00B02A20"/>
    <w:pPr>
      <w:ind w:left="1320"/>
    </w:pPr>
    <w:rPr>
      <w:sz w:val="20"/>
      <w:szCs w:val="20"/>
    </w:rPr>
  </w:style>
  <w:style w:type="paragraph" w:styleId="TOC8">
    <w:name w:val="toc 8"/>
    <w:basedOn w:val="Normal"/>
    <w:next w:val="Normal"/>
    <w:autoRedefine/>
    <w:uiPriority w:val="39"/>
    <w:unhideWhenUsed/>
    <w:rsid w:val="00B02A20"/>
    <w:pPr>
      <w:ind w:left="1540"/>
    </w:pPr>
    <w:rPr>
      <w:sz w:val="20"/>
      <w:szCs w:val="20"/>
    </w:rPr>
  </w:style>
  <w:style w:type="paragraph" w:styleId="TOC9">
    <w:name w:val="toc 9"/>
    <w:basedOn w:val="Normal"/>
    <w:next w:val="Normal"/>
    <w:autoRedefine/>
    <w:uiPriority w:val="39"/>
    <w:unhideWhenUsed/>
    <w:rsid w:val="00B02A20"/>
    <w:pPr>
      <w:ind w:left="1760"/>
    </w:pPr>
    <w:rPr>
      <w:sz w:val="20"/>
      <w:szCs w:val="20"/>
    </w:rPr>
  </w:style>
  <w:style w:type="paragraph" w:styleId="Revision">
    <w:name w:val="Revision"/>
    <w:hidden/>
    <w:uiPriority w:val="99"/>
    <w:semiHidden/>
    <w:rsid w:val="00B02A20"/>
    <w:pPr>
      <w:spacing w:after="0" w:line="240" w:lineRule="auto"/>
    </w:pPr>
    <w:rPr>
      <w:rFonts w:cstheme="minorHAnsi"/>
    </w:rPr>
  </w:style>
  <w:style w:type="paragraph" w:styleId="NoSpacing">
    <w:name w:val="No Spacing"/>
    <w:link w:val="NoSpacingChar"/>
    <w:uiPriority w:val="1"/>
    <w:qFormat/>
    <w:rsid w:val="006F77B8"/>
    <w:pPr>
      <w:spacing w:after="0" w:line="240" w:lineRule="auto"/>
    </w:pPr>
    <w:rPr>
      <w:rFonts w:cstheme="minorHAnsi"/>
    </w:rPr>
  </w:style>
  <w:style w:type="paragraph" w:customStyle="1" w:styleId="Default">
    <w:name w:val="Default"/>
    <w:autoRedefine/>
    <w:rsid w:val="00742107"/>
    <w:pPr>
      <w:autoSpaceDE w:val="0"/>
      <w:autoSpaceDN w:val="0"/>
      <w:adjustRightInd w:val="0"/>
      <w:spacing w:after="0" w:line="240" w:lineRule="auto"/>
    </w:pPr>
    <w:rPr>
      <w:rFonts w:ascii="Arial" w:hAnsi="Arial" w:cs="Calibri"/>
      <w:color w:val="000000"/>
    </w:rPr>
  </w:style>
  <w:style w:type="character" w:customStyle="1" w:styleId="NoSpacingChar">
    <w:name w:val="No Spacing Char"/>
    <w:basedOn w:val="DefaultParagraphFont"/>
    <w:link w:val="NoSpacing"/>
    <w:uiPriority w:val="1"/>
    <w:rsid w:val="006F77B8"/>
    <w:rPr>
      <w:rFonts w:cstheme="minorHAnsi"/>
    </w:rPr>
  </w:style>
  <w:style w:type="paragraph" w:styleId="Header">
    <w:name w:val="header"/>
    <w:basedOn w:val="Normal"/>
    <w:link w:val="HeaderChar"/>
    <w:uiPriority w:val="99"/>
    <w:unhideWhenUsed/>
    <w:rsid w:val="006F77B8"/>
    <w:pPr>
      <w:tabs>
        <w:tab w:val="center" w:pos="4680"/>
        <w:tab w:val="right" w:pos="9360"/>
      </w:tabs>
    </w:pPr>
  </w:style>
  <w:style w:type="character" w:customStyle="1" w:styleId="HeaderChar">
    <w:name w:val="Header Char"/>
    <w:basedOn w:val="DefaultParagraphFont"/>
    <w:link w:val="Header"/>
    <w:uiPriority w:val="99"/>
    <w:rsid w:val="006F77B8"/>
    <w:rPr>
      <w:rFonts w:ascii="Arial" w:hAnsi="Arial"/>
    </w:rPr>
  </w:style>
  <w:style w:type="paragraph" w:styleId="Footer">
    <w:name w:val="footer"/>
    <w:basedOn w:val="Normal"/>
    <w:link w:val="FooterChar"/>
    <w:uiPriority w:val="99"/>
    <w:unhideWhenUsed/>
    <w:rsid w:val="006F77B8"/>
    <w:pPr>
      <w:tabs>
        <w:tab w:val="center" w:pos="4680"/>
        <w:tab w:val="right" w:pos="9360"/>
      </w:tabs>
    </w:pPr>
  </w:style>
  <w:style w:type="character" w:customStyle="1" w:styleId="FooterChar">
    <w:name w:val="Footer Char"/>
    <w:basedOn w:val="DefaultParagraphFont"/>
    <w:link w:val="Footer"/>
    <w:uiPriority w:val="99"/>
    <w:rsid w:val="006F77B8"/>
    <w:rPr>
      <w:rFonts w:ascii="Arial" w:hAnsi="Arial"/>
    </w:rPr>
  </w:style>
  <w:style w:type="character" w:styleId="PlaceholderText">
    <w:name w:val="Placeholder Text"/>
    <w:basedOn w:val="DefaultParagraphFont"/>
    <w:uiPriority w:val="99"/>
    <w:semiHidden/>
    <w:rsid w:val="00B02A20"/>
    <w:rPr>
      <w:color w:val="808080"/>
    </w:rPr>
  </w:style>
  <w:style w:type="table" w:styleId="LightList-Accent1">
    <w:name w:val="Light List Accent 1"/>
    <w:basedOn w:val="TableNormal"/>
    <w:uiPriority w:val="61"/>
    <w:rsid w:val="00B02A20"/>
    <w:pPr>
      <w:spacing w:after="0" w:line="240" w:lineRule="auto"/>
    </w:pPr>
    <w:tblPr>
      <w:tblStyleRowBandSize w:val="1"/>
      <w:tblStyleColBandSize w:val="1"/>
      <w:tblBorders>
        <w:top w:val="single" w:sz="8" w:space="0" w:color="00A5DF" w:themeColor="accent1"/>
        <w:left w:val="single" w:sz="8" w:space="0" w:color="00A5DF" w:themeColor="accent1"/>
        <w:bottom w:val="single" w:sz="8" w:space="0" w:color="00A5DF" w:themeColor="accent1"/>
        <w:right w:val="single" w:sz="8" w:space="0" w:color="00A5DF" w:themeColor="accent1"/>
      </w:tblBorders>
    </w:tblPr>
    <w:tblStylePr w:type="firstRow">
      <w:pPr>
        <w:spacing w:before="0" w:after="0" w:line="240" w:lineRule="auto"/>
      </w:pPr>
      <w:rPr>
        <w:b/>
        <w:bCs/>
        <w:color w:val="FFFFFF" w:themeColor="background1"/>
      </w:rPr>
      <w:tblPr/>
      <w:tcPr>
        <w:shd w:val="clear" w:color="auto" w:fill="00A5DF" w:themeFill="accent1"/>
      </w:tcPr>
    </w:tblStylePr>
    <w:tblStylePr w:type="lastRow">
      <w:pPr>
        <w:spacing w:before="0" w:after="0" w:line="240" w:lineRule="auto"/>
      </w:pPr>
      <w:rPr>
        <w:b/>
        <w:bCs/>
      </w:rPr>
      <w:tblPr/>
      <w:tcPr>
        <w:tcBorders>
          <w:top w:val="double" w:sz="6" w:space="0" w:color="00A5DF" w:themeColor="accent1"/>
          <w:left w:val="single" w:sz="8" w:space="0" w:color="00A5DF" w:themeColor="accent1"/>
          <w:bottom w:val="single" w:sz="8" w:space="0" w:color="00A5DF" w:themeColor="accent1"/>
          <w:right w:val="single" w:sz="8" w:space="0" w:color="00A5DF" w:themeColor="accent1"/>
        </w:tcBorders>
      </w:tcPr>
    </w:tblStylePr>
    <w:tblStylePr w:type="firstCol">
      <w:rPr>
        <w:b/>
        <w:bCs/>
      </w:rPr>
    </w:tblStylePr>
    <w:tblStylePr w:type="lastCol">
      <w:rPr>
        <w:b/>
        <w:bCs/>
      </w:rPr>
    </w:tblStylePr>
    <w:tblStylePr w:type="band1Vert">
      <w:tblPr/>
      <w:tcPr>
        <w:tcBorders>
          <w:top w:val="single" w:sz="8" w:space="0" w:color="00A5DF" w:themeColor="accent1"/>
          <w:left w:val="single" w:sz="8" w:space="0" w:color="00A5DF" w:themeColor="accent1"/>
          <w:bottom w:val="single" w:sz="8" w:space="0" w:color="00A5DF" w:themeColor="accent1"/>
          <w:right w:val="single" w:sz="8" w:space="0" w:color="00A5DF" w:themeColor="accent1"/>
        </w:tcBorders>
      </w:tcPr>
    </w:tblStylePr>
    <w:tblStylePr w:type="band1Horz">
      <w:tblPr/>
      <w:tcPr>
        <w:tcBorders>
          <w:top w:val="single" w:sz="8" w:space="0" w:color="00A5DF" w:themeColor="accent1"/>
          <w:left w:val="single" w:sz="8" w:space="0" w:color="00A5DF" w:themeColor="accent1"/>
          <w:bottom w:val="single" w:sz="8" w:space="0" w:color="00A5DF" w:themeColor="accent1"/>
          <w:right w:val="single" w:sz="8" w:space="0" w:color="00A5DF" w:themeColor="accent1"/>
        </w:tcBorders>
      </w:tcPr>
    </w:tblStylePr>
  </w:style>
  <w:style w:type="paragraph" w:customStyle="1" w:styleId="Body1">
    <w:name w:val="Body1"/>
    <w:basedOn w:val="Normal"/>
    <w:autoRedefine/>
    <w:qFormat/>
    <w:rsid w:val="008510FC"/>
    <w:pPr>
      <w:spacing w:after="200" w:line="276" w:lineRule="auto"/>
    </w:pPr>
    <w:rPr>
      <w:rFonts w:eastAsia="Times New Roman" w:cs="Times New Roman"/>
    </w:rPr>
  </w:style>
  <w:style w:type="paragraph" w:styleId="DocumentMap">
    <w:name w:val="Document Map"/>
    <w:basedOn w:val="Normal"/>
    <w:link w:val="DocumentMapChar"/>
    <w:uiPriority w:val="99"/>
    <w:semiHidden/>
    <w:unhideWhenUsed/>
    <w:rsid w:val="00B02A20"/>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B02A20"/>
    <w:rPr>
      <w:rFonts w:ascii="Times New Roman" w:hAnsi="Times New Roman" w:cs="Times New Roman"/>
      <w:sz w:val="24"/>
      <w:szCs w:val="24"/>
    </w:rPr>
  </w:style>
  <w:style w:type="table" w:styleId="LightShading-Accent1">
    <w:name w:val="Light Shading Accent 1"/>
    <w:basedOn w:val="TableNormal"/>
    <w:uiPriority w:val="60"/>
    <w:rsid w:val="00B02A20"/>
    <w:pPr>
      <w:spacing w:after="0" w:line="240" w:lineRule="auto"/>
    </w:pPr>
    <w:rPr>
      <w:color w:val="007BA7" w:themeColor="accent1" w:themeShade="BF"/>
    </w:rPr>
    <w:tblPr>
      <w:tblStyleRowBandSize w:val="1"/>
      <w:tblStyleColBandSize w:val="1"/>
      <w:tblBorders>
        <w:top w:val="single" w:sz="8" w:space="0" w:color="00A5DF" w:themeColor="accent1"/>
        <w:bottom w:val="single" w:sz="8" w:space="0" w:color="00A5DF" w:themeColor="accent1"/>
      </w:tblBorders>
    </w:tblPr>
    <w:tblStylePr w:type="firstRow">
      <w:pPr>
        <w:spacing w:before="0" w:after="0" w:line="240" w:lineRule="auto"/>
      </w:pPr>
      <w:rPr>
        <w:b/>
        <w:bCs/>
      </w:rPr>
      <w:tblPr/>
      <w:tcPr>
        <w:tcBorders>
          <w:top w:val="single" w:sz="8" w:space="0" w:color="00A5DF" w:themeColor="accent1"/>
          <w:left w:val="nil"/>
          <w:bottom w:val="single" w:sz="8" w:space="0" w:color="00A5DF" w:themeColor="accent1"/>
          <w:right w:val="nil"/>
          <w:insideH w:val="nil"/>
          <w:insideV w:val="nil"/>
        </w:tcBorders>
      </w:tcPr>
    </w:tblStylePr>
    <w:tblStylePr w:type="lastRow">
      <w:pPr>
        <w:spacing w:before="0" w:after="0" w:line="240" w:lineRule="auto"/>
      </w:pPr>
      <w:rPr>
        <w:b/>
        <w:bCs/>
      </w:rPr>
      <w:tblPr/>
      <w:tcPr>
        <w:tcBorders>
          <w:top w:val="single" w:sz="8" w:space="0" w:color="00A5DF" w:themeColor="accent1"/>
          <w:left w:val="nil"/>
          <w:bottom w:val="single" w:sz="8" w:space="0" w:color="00A5D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CFF" w:themeFill="accent1" w:themeFillTint="3F"/>
      </w:tcPr>
    </w:tblStylePr>
    <w:tblStylePr w:type="band1Horz">
      <w:tblPr/>
      <w:tcPr>
        <w:tcBorders>
          <w:left w:val="nil"/>
          <w:right w:val="nil"/>
          <w:insideH w:val="nil"/>
          <w:insideV w:val="nil"/>
        </w:tcBorders>
        <w:shd w:val="clear" w:color="auto" w:fill="B8ECFF" w:themeFill="accent1" w:themeFillTint="3F"/>
      </w:tcPr>
    </w:tblStylePr>
  </w:style>
  <w:style w:type="character" w:styleId="FollowedHyperlink">
    <w:name w:val="FollowedHyperlink"/>
    <w:basedOn w:val="DefaultParagraphFont"/>
    <w:uiPriority w:val="99"/>
    <w:semiHidden/>
    <w:unhideWhenUsed/>
    <w:rsid w:val="00B02A20"/>
    <w:rPr>
      <w:color w:val="800080" w:themeColor="followedHyperlink"/>
      <w:u w:val="single"/>
    </w:rPr>
  </w:style>
  <w:style w:type="character" w:styleId="Emphasis">
    <w:name w:val="Emphasis"/>
    <w:basedOn w:val="DefaultParagraphFont"/>
    <w:uiPriority w:val="20"/>
    <w:qFormat/>
    <w:rsid w:val="00B02A20"/>
    <w:rPr>
      <w:i/>
      <w:iCs/>
    </w:rPr>
  </w:style>
  <w:style w:type="character" w:customStyle="1" w:styleId="apple-converted-space">
    <w:name w:val="apple-converted-space"/>
    <w:basedOn w:val="DefaultParagraphFont"/>
    <w:rsid w:val="00B02A20"/>
  </w:style>
  <w:style w:type="table" w:styleId="MediumShading1-Accent1">
    <w:name w:val="Medium Shading 1 Accent 1"/>
    <w:basedOn w:val="TableNormal"/>
    <w:uiPriority w:val="63"/>
    <w:rsid w:val="00B02A20"/>
    <w:pPr>
      <w:spacing w:after="0" w:line="240" w:lineRule="auto"/>
    </w:pPr>
    <w:tblPr>
      <w:tblStyleRowBandSize w:val="1"/>
      <w:tblStyleColBandSize w:val="1"/>
      <w:tblBorders>
        <w:top w:val="single" w:sz="8" w:space="0" w:color="28C6FF" w:themeColor="accent1" w:themeTint="BF"/>
        <w:left w:val="single" w:sz="8" w:space="0" w:color="28C6FF" w:themeColor="accent1" w:themeTint="BF"/>
        <w:bottom w:val="single" w:sz="8" w:space="0" w:color="28C6FF" w:themeColor="accent1" w:themeTint="BF"/>
        <w:right w:val="single" w:sz="8" w:space="0" w:color="28C6FF" w:themeColor="accent1" w:themeTint="BF"/>
        <w:insideH w:val="single" w:sz="8" w:space="0" w:color="28C6FF" w:themeColor="accent1" w:themeTint="BF"/>
      </w:tblBorders>
    </w:tblPr>
    <w:tblStylePr w:type="firstRow">
      <w:pPr>
        <w:spacing w:before="0" w:after="0" w:line="240" w:lineRule="auto"/>
      </w:pPr>
      <w:rPr>
        <w:b/>
        <w:bCs/>
        <w:color w:val="FFFFFF" w:themeColor="background1"/>
      </w:rPr>
      <w:tblPr/>
      <w:tcPr>
        <w:tcBorders>
          <w:top w:val="single" w:sz="8" w:space="0" w:color="28C6FF" w:themeColor="accent1" w:themeTint="BF"/>
          <w:left w:val="single" w:sz="8" w:space="0" w:color="28C6FF" w:themeColor="accent1" w:themeTint="BF"/>
          <w:bottom w:val="single" w:sz="8" w:space="0" w:color="28C6FF" w:themeColor="accent1" w:themeTint="BF"/>
          <w:right w:val="single" w:sz="8" w:space="0" w:color="28C6FF" w:themeColor="accent1" w:themeTint="BF"/>
          <w:insideH w:val="nil"/>
          <w:insideV w:val="nil"/>
        </w:tcBorders>
        <w:shd w:val="clear" w:color="auto" w:fill="00A5DF" w:themeFill="accent1"/>
      </w:tcPr>
    </w:tblStylePr>
    <w:tblStylePr w:type="lastRow">
      <w:pPr>
        <w:spacing w:before="0" w:after="0" w:line="240" w:lineRule="auto"/>
      </w:pPr>
      <w:rPr>
        <w:b/>
        <w:bCs/>
      </w:rPr>
      <w:tblPr/>
      <w:tcPr>
        <w:tcBorders>
          <w:top w:val="double" w:sz="6" w:space="0" w:color="28C6FF" w:themeColor="accent1" w:themeTint="BF"/>
          <w:left w:val="single" w:sz="8" w:space="0" w:color="28C6FF" w:themeColor="accent1" w:themeTint="BF"/>
          <w:bottom w:val="single" w:sz="8" w:space="0" w:color="28C6FF" w:themeColor="accent1" w:themeTint="BF"/>
          <w:right w:val="single" w:sz="8" w:space="0" w:color="28C6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ECFF" w:themeFill="accent1" w:themeFillTint="3F"/>
      </w:tcPr>
    </w:tblStylePr>
    <w:tblStylePr w:type="band1Horz">
      <w:tblPr/>
      <w:tcPr>
        <w:tcBorders>
          <w:insideH w:val="nil"/>
          <w:insideV w:val="nil"/>
        </w:tcBorders>
        <w:shd w:val="clear" w:color="auto" w:fill="B8ECFF" w:themeFill="accent1" w:themeFillTint="3F"/>
      </w:tcPr>
    </w:tblStylePr>
    <w:tblStylePr w:type="band2Horz">
      <w:tblPr/>
      <w:tcPr>
        <w:tcBorders>
          <w:insideH w:val="nil"/>
          <w:insideV w:val="nil"/>
        </w:tcBorders>
      </w:tcPr>
    </w:tblStylePr>
  </w:style>
  <w:style w:type="paragraph" w:styleId="Title">
    <w:name w:val="Title"/>
    <w:basedOn w:val="Normal"/>
    <w:next w:val="Normal"/>
    <w:link w:val="TitleChar"/>
    <w:uiPriority w:val="10"/>
    <w:qFormat/>
    <w:rsid w:val="006F77B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7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A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02A20"/>
    <w:rPr>
      <w:rFonts w:ascii="Arial" w:eastAsiaTheme="minorEastAsia" w:hAnsi="Arial"/>
      <w:color w:val="5A5A5A" w:themeColor="text1" w:themeTint="A5"/>
      <w:spacing w:val="15"/>
      <w:sz w:val="24"/>
    </w:rPr>
  </w:style>
  <w:style w:type="paragraph" w:customStyle="1" w:styleId="TitleChapter">
    <w:name w:val="Title Chapter"/>
    <w:basedOn w:val="Title"/>
    <w:autoRedefine/>
    <w:qFormat/>
    <w:rsid w:val="006F77B8"/>
    <w:pPr>
      <w:ind w:left="2160"/>
    </w:pPr>
    <w:rPr>
      <w:bCs/>
      <w:iCs/>
      <w:color w:val="FFA100" w:themeColor="accent2"/>
      <w:sz w:val="32"/>
    </w:rPr>
  </w:style>
  <w:style w:type="character" w:customStyle="1" w:styleId="Heading7Char">
    <w:name w:val="Heading 7 Char"/>
    <w:basedOn w:val="DefaultParagraphFont"/>
    <w:link w:val="Heading7"/>
    <w:uiPriority w:val="9"/>
    <w:semiHidden/>
    <w:rsid w:val="006F77B8"/>
    <w:rPr>
      <w:rFonts w:asciiTheme="majorHAnsi" w:eastAsiaTheme="majorEastAsia" w:hAnsiTheme="majorHAnsi" w:cstheme="majorBidi"/>
      <w:i/>
      <w:iCs/>
      <w:color w:val="00516F" w:themeColor="accent1" w:themeShade="7F"/>
    </w:rPr>
  </w:style>
  <w:style w:type="character" w:customStyle="1" w:styleId="Heading8Char">
    <w:name w:val="Heading 8 Char"/>
    <w:basedOn w:val="DefaultParagraphFont"/>
    <w:link w:val="Heading8"/>
    <w:uiPriority w:val="9"/>
    <w:semiHidden/>
    <w:rsid w:val="006F77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F77B8"/>
    <w:rPr>
      <w:rFonts w:asciiTheme="majorHAnsi" w:eastAsiaTheme="majorEastAsia" w:hAnsiTheme="majorHAnsi" w:cstheme="majorBidi"/>
      <w:i/>
      <w:iCs/>
      <w:color w:val="272727" w:themeColor="text1" w:themeTint="D8"/>
      <w:sz w:val="21"/>
      <w:szCs w:val="21"/>
    </w:rPr>
  </w:style>
  <w:style w:type="table" w:customStyle="1" w:styleId="GridTable5Dark-Accent31">
    <w:name w:val="Grid Table 5 Dark - Accent 31"/>
    <w:basedOn w:val="TableNormal"/>
    <w:uiPriority w:val="50"/>
    <w:rsid w:val="00EC24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3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777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777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777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7777" w:themeFill="accent3"/>
      </w:tcPr>
    </w:tblStylePr>
    <w:tblStylePr w:type="band1Vert">
      <w:tblPr/>
      <w:tcPr>
        <w:shd w:val="clear" w:color="auto" w:fill="C8C8C8" w:themeFill="accent3" w:themeFillTint="66"/>
      </w:tcPr>
    </w:tblStylePr>
    <w:tblStylePr w:type="band1Horz">
      <w:tblPr/>
      <w:tcPr>
        <w:shd w:val="clear" w:color="auto" w:fill="C8C8C8" w:themeFill="accent3" w:themeFillTint="66"/>
      </w:tcPr>
    </w:tblStylePr>
  </w:style>
  <w:style w:type="paragraph" w:styleId="NormalWeb">
    <w:name w:val="Normal (Web)"/>
    <w:basedOn w:val="Normal"/>
    <w:uiPriority w:val="99"/>
    <w:unhideWhenUsed/>
    <w:rsid w:val="00AF60FB"/>
    <w:pPr>
      <w:spacing w:before="100" w:beforeAutospacing="1" w:after="100" w:afterAutospacing="1"/>
    </w:pPr>
    <w:rPr>
      <w:rFonts w:ascii="Times New Roman" w:eastAsia="Times New Roman" w:hAnsi="Times New Roman" w:cs="Times New Roman"/>
      <w:sz w:val="24"/>
      <w:szCs w:val="24"/>
    </w:rPr>
  </w:style>
  <w:style w:type="paragraph" w:styleId="EndnoteText">
    <w:name w:val="endnote text"/>
    <w:basedOn w:val="FootnoteText"/>
    <w:link w:val="EndnoteTextChar"/>
    <w:unhideWhenUsed/>
    <w:rsid w:val="00977F29"/>
    <w:rPr>
      <w:rFonts w:eastAsia="Times New Roman" w:cs="Times New Roman"/>
    </w:rPr>
  </w:style>
  <w:style w:type="character" w:customStyle="1" w:styleId="EndnoteTextChar">
    <w:name w:val="Endnote Text Char"/>
    <w:basedOn w:val="DefaultParagraphFont"/>
    <w:link w:val="EndnoteText"/>
    <w:rsid w:val="00977F29"/>
    <w:rPr>
      <w:rFonts w:ascii="Arial" w:eastAsia="Times New Roman" w:hAnsi="Arial" w:cs="Times New Roman"/>
      <w:sz w:val="20"/>
      <w:szCs w:val="20"/>
    </w:rPr>
  </w:style>
  <w:style w:type="character" w:styleId="EndnoteReference">
    <w:name w:val="endnote reference"/>
    <w:basedOn w:val="DefaultParagraphFont"/>
    <w:semiHidden/>
    <w:unhideWhenUsed/>
    <w:rsid w:val="00977F29"/>
    <w:rPr>
      <w:rFonts w:cs="Times New Roman"/>
      <w:vertAlign w:val="superscript"/>
    </w:rPr>
  </w:style>
  <w:style w:type="character" w:customStyle="1" w:styleId="UnresolvedMention1">
    <w:name w:val="Unresolved Mention1"/>
    <w:basedOn w:val="DefaultParagraphFont"/>
    <w:uiPriority w:val="99"/>
    <w:rsid w:val="00176705"/>
    <w:rPr>
      <w:color w:val="808080"/>
      <w:shd w:val="clear" w:color="auto" w:fill="E6E6E6"/>
    </w:rPr>
  </w:style>
  <w:style w:type="table" w:customStyle="1" w:styleId="TableGrid111">
    <w:name w:val="Table Grid111"/>
    <w:basedOn w:val="TableNormal"/>
    <w:next w:val="TableGrid"/>
    <w:uiPriority w:val="59"/>
    <w:rsid w:val="0096359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eTRM Caption"/>
    <w:basedOn w:val="Normal"/>
    <w:next w:val="Normal"/>
    <w:link w:val="CaptionChar"/>
    <w:uiPriority w:val="35"/>
    <w:unhideWhenUsed/>
    <w:qFormat/>
    <w:rsid w:val="006F77B8"/>
    <w:pPr>
      <w:spacing w:after="120"/>
    </w:pPr>
    <w:rPr>
      <w:i/>
      <w:iCs/>
      <w:color w:val="19335E" w:themeColor="text2"/>
      <w:sz w:val="18"/>
      <w:szCs w:val="18"/>
    </w:rPr>
  </w:style>
  <w:style w:type="paragraph" w:customStyle="1" w:styleId="AppendixH1">
    <w:name w:val="Appendix H1"/>
    <w:basedOn w:val="Heading1"/>
    <w:next w:val="Normal"/>
    <w:qFormat/>
    <w:rsid w:val="006F77B8"/>
    <w:pPr>
      <w:numPr>
        <w:numId w:val="4"/>
      </w:numPr>
    </w:pPr>
  </w:style>
  <w:style w:type="paragraph" w:customStyle="1" w:styleId="AppendixH3">
    <w:name w:val="Appendix H3"/>
    <w:next w:val="Normal"/>
    <w:qFormat/>
    <w:rsid w:val="006F77B8"/>
    <w:pPr>
      <w:numPr>
        <w:ilvl w:val="2"/>
        <w:numId w:val="7"/>
      </w:numPr>
    </w:pPr>
    <w:rPr>
      <w:rFonts w:ascii="Arial" w:eastAsiaTheme="majorEastAsia" w:hAnsi="Arial" w:cstheme="majorBidi"/>
      <w:color w:val="00516F" w:themeColor="accent1" w:themeShade="7F"/>
      <w:sz w:val="24"/>
      <w:szCs w:val="24"/>
    </w:rPr>
  </w:style>
  <w:style w:type="paragraph" w:customStyle="1" w:styleId="AppendixH4">
    <w:name w:val="Appendix H4"/>
    <w:next w:val="Normal"/>
    <w:qFormat/>
    <w:rsid w:val="006F77B8"/>
    <w:pPr>
      <w:numPr>
        <w:ilvl w:val="3"/>
        <w:numId w:val="7"/>
      </w:numPr>
    </w:pPr>
    <w:rPr>
      <w:rFonts w:ascii="Arial" w:eastAsiaTheme="majorEastAsia" w:hAnsi="Arial" w:cstheme="majorBidi"/>
      <w:i/>
      <w:iCs/>
      <w:color w:val="007BA7" w:themeColor="accent1" w:themeShade="BF"/>
    </w:rPr>
  </w:style>
  <w:style w:type="paragraph" w:customStyle="1" w:styleId="AppendixH5">
    <w:name w:val="Appendix H5"/>
    <w:basedOn w:val="Heading5"/>
    <w:next w:val="Normal"/>
    <w:qFormat/>
    <w:rsid w:val="006F77B8"/>
    <w:pPr>
      <w:numPr>
        <w:ilvl w:val="4"/>
        <w:numId w:val="7"/>
      </w:numPr>
    </w:pPr>
  </w:style>
  <w:style w:type="paragraph" w:customStyle="1" w:styleId="AppendixH2">
    <w:name w:val="Appendix H2"/>
    <w:next w:val="Normal"/>
    <w:qFormat/>
    <w:rsid w:val="006F77B8"/>
    <w:pPr>
      <w:numPr>
        <w:ilvl w:val="1"/>
        <w:numId w:val="7"/>
      </w:numPr>
    </w:pPr>
    <w:rPr>
      <w:rFonts w:ascii="Arial" w:eastAsiaTheme="majorEastAsia" w:hAnsi="Arial" w:cstheme="majorBidi"/>
      <w:color w:val="007BA7" w:themeColor="accent1" w:themeShade="BF"/>
      <w:sz w:val="26"/>
      <w:szCs w:val="26"/>
    </w:rPr>
  </w:style>
  <w:style w:type="numbering" w:customStyle="1" w:styleId="AppendixHeadings">
    <w:name w:val="Appendix Headings"/>
    <w:uiPriority w:val="99"/>
    <w:rsid w:val="006F77B8"/>
    <w:pPr>
      <w:numPr>
        <w:numId w:val="7"/>
      </w:numPr>
    </w:pPr>
  </w:style>
  <w:style w:type="numbering" w:customStyle="1" w:styleId="Headings">
    <w:name w:val="Headings"/>
    <w:uiPriority w:val="99"/>
    <w:rsid w:val="006F77B8"/>
    <w:pPr>
      <w:numPr>
        <w:numId w:val="9"/>
      </w:numPr>
    </w:pPr>
  </w:style>
  <w:style w:type="paragraph" w:customStyle="1" w:styleId="GlossaryHeading">
    <w:name w:val="Glossary Heading"/>
    <w:next w:val="Normal"/>
    <w:qFormat/>
    <w:rsid w:val="00EF01E9"/>
    <w:rPr>
      <w:rFonts w:ascii="Arial" w:eastAsiaTheme="majorEastAsia" w:hAnsi="Arial" w:cstheme="majorBidi"/>
      <w:color w:val="00A5DF"/>
      <w:sz w:val="32"/>
      <w:szCs w:val="32"/>
    </w:rPr>
  </w:style>
  <w:style w:type="character" w:customStyle="1" w:styleId="UnresolvedMention2">
    <w:name w:val="Unresolved Mention2"/>
    <w:basedOn w:val="DefaultParagraphFont"/>
    <w:uiPriority w:val="99"/>
    <w:semiHidden/>
    <w:unhideWhenUsed/>
    <w:rsid w:val="005A0BEB"/>
    <w:rPr>
      <w:color w:val="808080"/>
      <w:shd w:val="clear" w:color="auto" w:fill="E6E6E6"/>
    </w:rPr>
  </w:style>
  <w:style w:type="table" w:styleId="LightList-Accent5">
    <w:name w:val="Light List Accent 5"/>
    <w:basedOn w:val="TableNormal"/>
    <w:uiPriority w:val="61"/>
    <w:rsid w:val="00CE1BF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Reminders">
    <w:name w:val="Reminders"/>
    <w:basedOn w:val="Normal"/>
    <w:link w:val="RemindersChar"/>
    <w:rsid w:val="00A5146D"/>
    <w:pPr>
      <w:spacing w:before="40" w:after="40"/>
    </w:pPr>
    <w:rPr>
      <w:rFonts w:ascii="Trebuchet MS" w:eastAsia="Times New Roman" w:hAnsi="Trebuchet MS" w:cs="Times New Roman"/>
      <w:i/>
      <w:color w:val="FF0000"/>
      <w:szCs w:val="24"/>
    </w:rPr>
  </w:style>
  <w:style w:type="paragraph" w:customStyle="1" w:styleId="Reminder">
    <w:name w:val="Reminder"/>
    <w:basedOn w:val="Reminders"/>
    <w:link w:val="ReminderChar"/>
    <w:rsid w:val="00A5146D"/>
  </w:style>
  <w:style w:type="character" w:customStyle="1" w:styleId="RemindersChar">
    <w:name w:val="Reminders Char"/>
    <w:basedOn w:val="DefaultParagraphFont"/>
    <w:link w:val="Reminders"/>
    <w:rsid w:val="00A5146D"/>
    <w:rPr>
      <w:rFonts w:ascii="Trebuchet MS" w:eastAsia="Times New Roman" w:hAnsi="Trebuchet MS" w:cs="Times New Roman"/>
      <w:i/>
      <w:color w:val="FF0000"/>
      <w:szCs w:val="24"/>
    </w:rPr>
  </w:style>
  <w:style w:type="character" w:customStyle="1" w:styleId="ReminderChar">
    <w:name w:val="Reminder Char"/>
    <w:basedOn w:val="RemindersChar"/>
    <w:link w:val="Reminder"/>
    <w:rsid w:val="00A5146D"/>
    <w:rPr>
      <w:rFonts w:ascii="Trebuchet MS" w:eastAsia="Times New Roman" w:hAnsi="Trebuchet MS" w:cs="Times New Roman"/>
      <w:i/>
      <w:color w:val="FF0000"/>
      <w:szCs w:val="24"/>
    </w:rPr>
  </w:style>
  <w:style w:type="table" w:styleId="TableContemporary">
    <w:name w:val="Table Contemporary"/>
    <w:aliases w:val="WP Table"/>
    <w:basedOn w:val="TableNormal"/>
    <w:rsid w:val="00A5146D"/>
    <w:pPr>
      <w:spacing w:after="0" w:line="240" w:lineRule="auto"/>
    </w:pPr>
    <w:rPr>
      <w:rFonts w:ascii="Calibri" w:eastAsia="Times New Roman" w:hAnsi="Calibri"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aptionChar">
    <w:name w:val="Caption Char"/>
    <w:aliases w:val="eTRM Caption Char"/>
    <w:basedOn w:val="DefaultParagraphFont"/>
    <w:link w:val="Caption"/>
    <w:rsid w:val="00EB16D1"/>
    <w:rPr>
      <w:rFonts w:ascii="Arial" w:hAnsi="Arial"/>
      <w:i/>
      <w:iCs/>
      <w:color w:val="19335E" w:themeColor="text2"/>
      <w:sz w:val="18"/>
      <w:szCs w:val="18"/>
    </w:rPr>
  </w:style>
  <w:style w:type="paragraph" w:customStyle="1" w:styleId="CharChar4">
    <w:name w:val="Char Char4"/>
    <w:basedOn w:val="Normal"/>
    <w:rsid w:val="00A5146D"/>
    <w:pPr>
      <w:spacing w:after="160" w:line="240" w:lineRule="exact"/>
    </w:pPr>
    <w:rPr>
      <w:rFonts w:ascii="Verdana" w:eastAsia="Times New Roman" w:hAnsi="Verdana" w:cs="Times New Roman"/>
      <w:sz w:val="20"/>
      <w:szCs w:val="20"/>
    </w:rPr>
  </w:style>
  <w:style w:type="paragraph" w:customStyle="1" w:styleId="reminders0">
    <w:name w:val="reminders"/>
    <w:basedOn w:val="Normal"/>
    <w:rsid w:val="00A5146D"/>
    <w:rPr>
      <w:rFonts w:ascii="Trebuchet MS" w:eastAsia="Times New Roman" w:hAnsi="Trebuchet MS" w:cs="Arial"/>
      <w:color w:val="FF0000"/>
      <w:szCs w:val="24"/>
    </w:rPr>
  </w:style>
  <w:style w:type="character" w:styleId="Strong">
    <w:name w:val="Strong"/>
    <w:qFormat/>
    <w:rsid w:val="00A5146D"/>
    <w:rPr>
      <w:rFonts w:ascii="Arial" w:hAnsi="Arial"/>
      <w:b/>
      <w:bCs/>
      <w:sz w:val="22"/>
    </w:rPr>
  </w:style>
  <w:style w:type="character" w:customStyle="1" w:styleId="Strong1">
    <w:name w:val="Strong1"/>
    <w:qFormat/>
    <w:rsid w:val="00A5146D"/>
    <w:rPr>
      <w:b/>
      <w:bCs/>
    </w:rPr>
  </w:style>
  <w:style w:type="table" w:styleId="LightShading">
    <w:name w:val="Light Shading"/>
    <w:basedOn w:val="TableNormal"/>
    <w:uiPriority w:val="60"/>
    <w:rsid w:val="00A5146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WPnumber">
    <w:name w:val="WPnumber"/>
    <w:basedOn w:val="Normal"/>
    <w:link w:val="WPnumberChar"/>
    <w:rsid w:val="00A5146D"/>
    <w:pPr>
      <w:jc w:val="right"/>
    </w:pPr>
    <w:rPr>
      <w:rFonts w:asciiTheme="minorHAnsi" w:eastAsia="Times New Roman" w:hAnsiTheme="minorHAnsi" w:cstheme="minorHAnsi"/>
      <w:b/>
      <w:sz w:val="48"/>
      <w:szCs w:val="48"/>
    </w:rPr>
  </w:style>
  <w:style w:type="character" w:customStyle="1" w:styleId="WPnumberChar">
    <w:name w:val="WPnumber Char"/>
    <w:basedOn w:val="DefaultParagraphFont"/>
    <w:link w:val="WPnumber"/>
    <w:rsid w:val="00A5146D"/>
    <w:rPr>
      <w:rFonts w:eastAsia="Times New Roman" w:cstheme="minorHAnsi"/>
      <w:b/>
      <w:sz w:val="48"/>
      <w:szCs w:val="48"/>
    </w:rPr>
  </w:style>
  <w:style w:type="paragraph" w:customStyle="1" w:styleId="Revnumber">
    <w:name w:val="Revnumber"/>
    <w:basedOn w:val="WPnumber"/>
    <w:link w:val="RevnumberChar"/>
    <w:rsid w:val="00A5146D"/>
  </w:style>
  <w:style w:type="paragraph" w:customStyle="1" w:styleId="Datenumber">
    <w:name w:val="Datenumber"/>
    <w:basedOn w:val="Revnumber"/>
    <w:link w:val="DatenumberChar"/>
    <w:rsid w:val="00A5146D"/>
  </w:style>
  <w:style w:type="character" w:customStyle="1" w:styleId="RevnumberChar">
    <w:name w:val="Revnumber Char"/>
    <w:basedOn w:val="WPnumberChar"/>
    <w:link w:val="Revnumber"/>
    <w:rsid w:val="00A5146D"/>
    <w:rPr>
      <w:rFonts w:eastAsia="Times New Roman" w:cstheme="minorHAnsi"/>
      <w:b/>
      <w:sz w:val="48"/>
      <w:szCs w:val="48"/>
    </w:rPr>
  </w:style>
  <w:style w:type="character" w:customStyle="1" w:styleId="DatenumberChar">
    <w:name w:val="Datenumber Char"/>
    <w:basedOn w:val="RevnumberChar"/>
    <w:link w:val="Datenumber"/>
    <w:rsid w:val="00A5146D"/>
    <w:rPr>
      <w:rFonts w:eastAsia="Times New Roman" w:cstheme="minorHAnsi"/>
      <w:b/>
      <w:sz w:val="48"/>
      <w:szCs w:val="48"/>
    </w:rPr>
  </w:style>
  <w:style w:type="table" w:customStyle="1" w:styleId="TableContemporary1">
    <w:name w:val="Table Contemporary1"/>
    <w:basedOn w:val="TableNormal"/>
    <w:next w:val="TableContemporary"/>
    <w:rsid w:val="00A5146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Light1">
    <w:name w:val="Table Grid Light1"/>
    <w:basedOn w:val="TableNormal"/>
    <w:uiPriority w:val="40"/>
    <w:rsid w:val="00A514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foExpander">
    <w:name w:val="InfoExpander"/>
    <w:basedOn w:val="Heading3"/>
    <w:link w:val="InfoExpanderChar"/>
    <w:qFormat/>
    <w:rsid w:val="00A5146D"/>
    <w:pPr>
      <w:keepLines w:val="0"/>
      <w:tabs>
        <w:tab w:val="num" w:pos="360"/>
      </w:tabs>
      <w:spacing w:before="0"/>
    </w:pPr>
    <w:rPr>
      <w:rFonts w:ascii="Trebuchet MS" w:eastAsia="Times New Roman" w:hAnsi="Trebuchet MS" w:cstheme="minorHAnsi"/>
      <w:bCs/>
      <w:color w:val="FF0000"/>
      <w:sz w:val="22"/>
      <w:u w:val="single"/>
    </w:rPr>
  </w:style>
  <w:style w:type="character" w:customStyle="1" w:styleId="InfoExpanderChar">
    <w:name w:val="InfoExpander Char"/>
    <w:basedOn w:val="RemindersChar"/>
    <w:link w:val="InfoExpander"/>
    <w:rsid w:val="00A5146D"/>
    <w:rPr>
      <w:rFonts w:ascii="Trebuchet MS" w:eastAsia="Times New Roman" w:hAnsi="Trebuchet MS" w:cstheme="minorHAnsi"/>
      <w:bCs/>
      <w:i w:val="0"/>
      <w:color w:val="FF0000"/>
      <w:szCs w:val="24"/>
      <w:u w:val="single"/>
    </w:rPr>
  </w:style>
  <w:style w:type="paragraph" w:styleId="ListBullet">
    <w:name w:val="List Bullet"/>
    <w:basedOn w:val="Normal"/>
    <w:uiPriority w:val="99"/>
    <w:unhideWhenUsed/>
    <w:rsid w:val="00A5146D"/>
    <w:pPr>
      <w:tabs>
        <w:tab w:val="num" w:pos="360"/>
      </w:tabs>
      <w:ind w:left="360" w:hanging="360"/>
      <w:contextualSpacing/>
    </w:pPr>
    <w:rPr>
      <w:rFonts w:asciiTheme="minorHAnsi" w:eastAsia="Times New Roman" w:hAnsiTheme="minorHAnsi" w:cs="Times New Roman"/>
      <w:szCs w:val="24"/>
    </w:rPr>
  </w:style>
  <w:style w:type="table" w:styleId="MediumGrid3-Accent5">
    <w:name w:val="Medium Grid 3 Accent 5"/>
    <w:basedOn w:val="TableNormal"/>
    <w:uiPriority w:val="69"/>
    <w:rsid w:val="003B5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List2-Accent5">
    <w:name w:val="Medium List 2 Accent 5"/>
    <w:basedOn w:val="TableNormal"/>
    <w:uiPriority w:val="66"/>
    <w:rsid w:val="003B58D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11">
    <w:name w:val="Medium Shading 1 - Accent 11"/>
    <w:basedOn w:val="TableNormal"/>
    <w:next w:val="MediumShading1-Accent1"/>
    <w:uiPriority w:val="63"/>
    <w:rsid w:val="007C3764"/>
    <w:pPr>
      <w:spacing w:after="0" w:line="240" w:lineRule="auto"/>
    </w:pPr>
    <w:tblPr>
      <w:tblStyleRowBandSize w:val="1"/>
      <w:tblStyleColBandSize w:val="1"/>
      <w:tblBorders>
        <w:top w:val="single" w:sz="8" w:space="0" w:color="28C6FF" w:themeColor="accent1" w:themeTint="BF"/>
        <w:left w:val="single" w:sz="8" w:space="0" w:color="28C6FF" w:themeColor="accent1" w:themeTint="BF"/>
        <w:bottom w:val="single" w:sz="8" w:space="0" w:color="28C6FF" w:themeColor="accent1" w:themeTint="BF"/>
        <w:right w:val="single" w:sz="8" w:space="0" w:color="28C6FF" w:themeColor="accent1" w:themeTint="BF"/>
        <w:insideH w:val="single" w:sz="8" w:space="0" w:color="28C6FF" w:themeColor="accent1" w:themeTint="BF"/>
      </w:tblBorders>
    </w:tblPr>
    <w:tblStylePr w:type="firstRow">
      <w:pPr>
        <w:spacing w:before="0" w:after="0" w:line="240" w:lineRule="auto"/>
      </w:pPr>
      <w:rPr>
        <w:b/>
        <w:bCs/>
        <w:color w:val="FFFFFF" w:themeColor="background1"/>
      </w:rPr>
      <w:tblPr/>
      <w:tcPr>
        <w:tcBorders>
          <w:top w:val="single" w:sz="8" w:space="0" w:color="28C6FF" w:themeColor="accent1" w:themeTint="BF"/>
          <w:left w:val="single" w:sz="8" w:space="0" w:color="28C6FF" w:themeColor="accent1" w:themeTint="BF"/>
          <w:bottom w:val="single" w:sz="8" w:space="0" w:color="28C6FF" w:themeColor="accent1" w:themeTint="BF"/>
          <w:right w:val="single" w:sz="8" w:space="0" w:color="28C6FF" w:themeColor="accent1" w:themeTint="BF"/>
          <w:insideH w:val="nil"/>
          <w:insideV w:val="nil"/>
        </w:tcBorders>
        <w:shd w:val="clear" w:color="auto" w:fill="00A5DF" w:themeFill="accent1"/>
      </w:tcPr>
    </w:tblStylePr>
    <w:tblStylePr w:type="lastRow">
      <w:pPr>
        <w:spacing w:before="0" w:after="0" w:line="240" w:lineRule="auto"/>
      </w:pPr>
      <w:rPr>
        <w:b/>
        <w:bCs/>
      </w:rPr>
      <w:tblPr/>
      <w:tcPr>
        <w:tcBorders>
          <w:top w:val="double" w:sz="6" w:space="0" w:color="28C6FF" w:themeColor="accent1" w:themeTint="BF"/>
          <w:left w:val="single" w:sz="8" w:space="0" w:color="28C6FF" w:themeColor="accent1" w:themeTint="BF"/>
          <w:bottom w:val="single" w:sz="8" w:space="0" w:color="28C6FF" w:themeColor="accent1" w:themeTint="BF"/>
          <w:right w:val="single" w:sz="8" w:space="0" w:color="28C6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ECFF" w:themeFill="accent1" w:themeFillTint="3F"/>
      </w:tcPr>
    </w:tblStylePr>
    <w:tblStylePr w:type="band1Horz">
      <w:tblPr/>
      <w:tcPr>
        <w:tcBorders>
          <w:insideH w:val="nil"/>
          <w:insideV w:val="nil"/>
        </w:tcBorders>
        <w:shd w:val="clear" w:color="auto" w:fill="B8ECFF"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B058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D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D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D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D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9FF" w:themeFill="accent1" w:themeFillTint="7F"/>
      </w:tcPr>
    </w:tblStylePr>
  </w:style>
  <w:style w:type="table" w:styleId="ColorfulShading-Accent1">
    <w:name w:val="Colorful Shading Accent 1"/>
    <w:basedOn w:val="TableNormal"/>
    <w:uiPriority w:val="71"/>
    <w:rsid w:val="00833EC5"/>
    <w:pPr>
      <w:spacing w:after="0" w:line="240" w:lineRule="auto"/>
    </w:pPr>
    <w:rPr>
      <w:color w:val="000000" w:themeColor="text1"/>
    </w:rPr>
    <w:tblPr>
      <w:tblStyleRowBandSize w:val="1"/>
      <w:tblStyleColBandSize w:val="1"/>
      <w:tblBorders>
        <w:top w:val="single" w:sz="24" w:space="0" w:color="FFA100" w:themeColor="accent2"/>
        <w:left w:val="single" w:sz="4" w:space="0" w:color="00A5DF" w:themeColor="accent1"/>
        <w:bottom w:val="single" w:sz="4" w:space="0" w:color="00A5DF" w:themeColor="accent1"/>
        <w:right w:val="single" w:sz="4" w:space="0" w:color="00A5DF" w:themeColor="accent1"/>
        <w:insideH w:val="single" w:sz="4" w:space="0" w:color="FFFFFF" w:themeColor="background1"/>
        <w:insideV w:val="single" w:sz="4" w:space="0" w:color="FFFFFF" w:themeColor="background1"/>
      </w:tblBorders>
    </w:tblPr>
    <w:tcPr>
      <w:shd w:val="clear" w:color="auto" w:fill="E2F7FF" w:themeFill="accent1" w:themeFillTint="19"/>
    </w:tcPr>
    <w:tblStylePr w:type="firstRow">
      <w:rPr>
        <w:b/>
        <w:bCs/>
      </w:rPr>
      <w:tblPr/>
      <w:tcPr>
        <w:tcBorders>
          <w:top w:val="nil"/>
          <w:left w:val="nil"/>
          <w:bottom w:val="single" w:sz="24" w:space="0" w:color="FFA1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285" w:themeFill="accent1" w:themeFillShade="99"/>
      </w:tcPr>
    </w:tblStylePr>
    <w:tblStylePr w:type="firstCol">
      <w:rPr>
        <w:color w:val="FFFFFF" w:themeColor="background1"/>
      </w:rPr>
      <w:tblPr/>
      <w:tcPr>
        <w:tcBorders>
          <w:top w:val="nil"/>
          <w:left w:val="nil"/>
          <w:bottom w:val="nil"/>
          <w:right w:val="nil"/>
          <w:insideH w:val="single" w:sz="4" w:space="0" w:color="006285" w:themeColor="accent1" w:themeShade="99"/>
          <w:insideV w:val="nil"/>
        </w:tcBorders>
        <w:shd w:val="clear" w:color="auto" w:fill="00628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285" w:themeFill="accent1" w:themeFillShade="99"/>
      </w:tcPr>
    </w:tblStylePr>
    <w:tblStylePr w:type="band1Vert">
      <w:tblPr/>
      <w:tcPr>
        <w:shd w:val="clear" w:color="auto" w:fill="8CE0FF" w:themeFill="accent1" w:themeFillTint="66"/>
      </w:tcPr>
    </w:tblStylePr>
    <w:tblStylePr w:type="band1Horz">
      <w:tblPr/>
      <w:tcPr>
        <w:shd w:val="clear" w:color="auto" w:fill="70D9FF" w:themeFill="accent1" w:themeFillTint="7F"/>
      </w:tcPr>
    </w:tblStylePr>
    <w:tblStylePr w:type="neCell">
      <w:rPr>
        <w:color w:val="000000" w:themeColor="text1"/>
      </w:rPr>
    </w:tblStylePr>
    <w:tblStylePr w:type="nwCell">
      <w:rPr>
        <w:color w:val="000000" w:themeColor="text1"/>
      </w:rPr>
    </w:tblStylePr>
  </w:style>
  <w:style w:type="table" w:styleId="ColorfulGrid-Accent1">
    <w:name w:val="Colorful Grid Accent 1"/>
    <w:basedOn w:val="TableNormal"/>
    <w:uiPriority w:val="73"/>
    <w:rsid w:val="00833E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5EFFF" w:themeFill="accent1" w:themeFillTint="33"/>
    </w:tcPr>
    <w:tblStylePr w:type="firstRow">
      <w:rPr>
        <w:b/>
        <w:bCs/>
      </w:rPr>
      <w:tblPr/>
      <w:tcPr>
        <w:shd w:val="clear" w:color="auto" w:fill="8CE0FF" w:themeFill="accent1" w:themeFillTint="66"/>
      </w:tcPr>
    </w:tblStylePr>
    <w:tblStylePr w:type="lastRow">
      <w:rPr>
        <w:b/>
        <w:bCs/>
        <w:color w:val="000000" w:themeColor="text1"/>
      </w:rPr>
      <w:tblPr/>
      <w:tcPr>
        <w:shd w:val="clear" w:color="auto" w:fill="8CE0FF" w:themeFill="accent1" w:themeFillTint="66"/>
      </w:tcPr>
    </w:tblStylePr>
    <w:tblStylePr w:type="firstCol">
      <w:rPr>
        <w:color w:val="FFFFFF" w:themeColor="background1"/>
      </w:rPr>
      <w:tblPr/>
      <w:tcPr>
        <w:shd w:val="clear" w:color="auto" w:fill="007BA7" w:themeFill="accent1" w:themeFillShade="BF"/>
      </w:tcPr>
    </w:tblStylePr>
    <w:tblStylePr w:type="lastCol">
      <w:rPr>
        <w:color w:val="FFFFFF" w:themeColor="background1"/>
      </w:rPr>
      <w:tblPr/>
      <w:tcPr>
        <w:shd w:val="clear" w:color="auto" w:fill="007BA7" w:themeFill="accent1" w:themeFillShade="BF"/>
      </w:tcPr>
    </w:tblStylePr>
    <w:tblStylePr w:type="band1Vert">
      <w:tblPr/>
      <w:tcPr>
        <w:shd w:val="clear" w:color="auto" w:fill="70D9FF" w:themeFill="accent1" w:themeFillTint="7F"/>
      </w:tcPr>
    </w:tblStylePr>
    <w:tblStylePr w:type="band1Horz">
      <w:tblPr/>
      <w:tcPr>
        <w:shd w:val="clear" w:color="auto" w:fill="70D9FF" w:themeFill="accent1" w:themeFillTint="7F"/>
      </w:tcPr>
    </w:tblStylePr>
  </w:style>
  <w:style w:type="table" w:styleId="MediumShading1-Accent5">
    <w:name w:val="Medium Shading 1 Accent 5"/>
    <w:basedOn w:val="TableNormal"/>
    <w:uiPriority w:val="63"/>
    <w:rsid w:val="003E5CA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EA3457"/>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9335E"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1-Accent5">
    <w:name w:val="Medium Grid 1 Accent 5"/>
    <w:basedOn w:val="TableNormal"/>
    <w:uiPriority w:val="67"/>
    <w:rsid w:val="00354AD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AppendixHeadings1">
    <w:name w:val="Appendix Headings1"/>
    <w:uiPriority w:val="99"/>
    <w:rsid w:val="00C348BD"/>
  </w:style>
  <w:style w:type="numbering" w:customStyle="1" w:styleId="AppendixHeadings2">
    <w:name w:val="Appendix Headings2"/>
    <w:uiPriority w:val="99"/>
    <w:rsid w:val="0024288B"/>
  </w:style>
  <w:style w:type="paragraph" w:customStyle="1" w:styleId="FootnoteText1">
    <w:name w:val="Footnote Text1"/>
    <w:basedOn w:val="Normal"/>
    <w:next w:val="FootnoteText"/>
    <w:uiPriority w:val="99"/>
    <w:unhideWhenUsed/>
    <w:rsid w:val="00F01C79"/>
    <w:rPr>
      <w:sz w:val="20"/>
      <w:szCs w:val="20"/>
    </w:rPr>
  </w:style>
  <w:style w:type="numbering" w:customStyle="1" w:styleId="AppendixHeadings3">
    <w:name w:val="Appendix Headings3"/>
    <w:uiPriority w:val="99"/>
    <w:rsid w:val="005E6610"/>
    <w:pPr>
      <w:numPr>
        <w:numId w:val="2"/>
      </w:numPr>
    </w:pPr>
  </w:style>
  <w:style w:type="table" w:customStyle="1" w:styleId="TableGrid11">
    <w:name w:val="Table Grid11"/>
    <w:basedOn w:val="TableNormal"/>
    <w:next w:val="TableGrid"/>
    <w:rsid w:val="00F00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430CB1"/>
    <w:rPr>
      <w:color w:val="808080"/>
      <w:shd w:val="clear" w:color="auto" w:fill="E6E6E6"/>
    </w:rPr>
  </w:style>
  <w:style w:type="paragraph" w:styleId="BlockText">
    <w:name w:val="Block Text"/>
    <w:basedOn w:val="Normal"/>
    <w:uiPriority w:val="99"/>
    <w:unhideWhenUsed/>
    <w:rsid w:val="002863B9"/>
    <w:pPr>
      <w:pBdr>
        <w:top w:val="single" w:sz="2" w:space="10" w:color="00A5DF" w:themeColor="accent1"/>
        <w:left w:val="single" w:sz="2" w:space="10" w:color="00A5DF" w:themeColor="accent1"/>
        <w:bottom w:val="single" w:sz="2" w:space="10" w:color="00A5DF" w:themeColor="accent1"/>
        <w:right w:val="single" w:sz="2" w:space="10" w:color="00A5DF" w:themeColor="accent1"/>
      </w:pBdr>
      <w:ind w:left="1152" w:right="1152"/>
    </w:pPr>
    <w:rPr>
      <w:rFonts w:asciiTheme="minorHAnsi" w:eastAsiaTheme="minorEastAsia" w:hAnsiTheme="minorHAnsi"/>
      <w:i/>
      <w:iCs/>
      <w:color w:val="00A5DF" w:themeColor="accent1"/>
    </w:rPr>
  </w:style>
  <w:style w:type="paragraph" w:styleId="BodyText">
    <w:name w:val="Body Text"/>
    <w:basedOn w:val="Normal"/>
    <w:link w:val="BodyTextChar"/>
    <w:uiPriority w:val="99"/>
    <w:unhideWhenUsed/>
    <w:rsid w:val="007752B9"/>
    <w:pPr>
      <w:spacing w:after="120"/>
    </w:pPr>
  </w:style>
  <w:style w:type="character" w:customStyle="1" w:styleId="BodyTextChar">
    <w:name w:val="Body Text Char"/>
    <w:basedOn w:val="DefaultParagraphFont"/>
    <w:link w:val="BodyText"/>
    <w:uiPriority w:val="99"/>
    <w:rsid w:val="007752B9"/>
    <w:rPr>
      <w:rFonts w:ascii="Arial" w:hAnsi="Arial"/>
    </w:rPr>
  </w:style>
  <w:style w:type="character" w:customStyle="1" w:styleId="UnresolvedMention4">
    <w:name w:val="Unresolved Mention4"/>
    <w:basedOn w:val="DefaultParagraphFont"/>
    <w:uiPriority w:val="99"/>
    <w:semiHidden/>
    <w:unhideWhenUsed/>
    <w:rsid w:val="00627056"/>
    <w:rPr>
      <w:color w:val="808080"/>
      <w:shd w:val="clear" w:color="auto" w:fill="E6E6E6"/>
    </w:rPr>
  </w:style>
  <w:style w:type="paragraph" w:customStyle="1" w:styleId="eTRMHeading3">
    <w:name w:val="eTRM Heading 3"/>
    <w:basedOn w:val="Heading3"/>
    <w:link w:val="eTRMHeading3Char"/>
    <w:autoRedefine/>
    <w:qFormat/>
    <w:rsid w:val="00D97E58"/>
    <w:pPr>
      <w:spacing w:beforeLines="20" w:before="48" w:afterLines="20" w:after="48"/>
    </w:pPr>
    <w:rPr>
      <w:rFonts w:ascii="Calibri" w:hAnsi="Calibri"/>
      <w:caps/>
      <w:color w:val="CFAB7A"/>
      <w:spacing w:val="10"/>
      <w:w w:val="102"/>
      <w:sz w:val="26"/>
      <w:szCs w:val="30"/>
    </w:rPr>
  </w:style>
  <w:style w:type="character" w:customStyle="1" w:styleId="eTRMHeading3Char">
    <w:name w:val="eTRM Heading 3 Char"/>
    <w:basedOn w:val="DefaultParagraphFont"/>
    <w:link w:val="eTRMHeading3"/>
    <w:rsid w:val="00D97E58"/>
    <w:rPr>
      <w:rFonts w:ascii="Calibri" w:eastAsiaTheme="majorEastAsia" w:hAnsi="Calibri" w:cstheme="majorBidi"/>
      <w:caps/>
      <w:color w:val="CFAB7A"/>
      <w:spacing w:val="10"/>
      <w:w w:val="102"/>
      <w:sz w:val="26"/>
      <w:szCs w:val="30"/>
    </w:rPr>
  </w:style>
  <w:style w:type="paragraph" w:customStyle="1" w:styleId="eTRMHeading4">
    <w:name w:val="eTRM Heading 4"/>
    <w:basedOn w:val="Normal"/>
    <w:link w:val="eTRMHeading4Char"/>
    <w:qFormat/>
    <w:rsid w:val="00D97E58"/>
    <w:pPr>
      <w:keepNext/>
      <w:keepLines/>
      <w:spacing w:before="60" w:line="300" w:lineRule="exact"/>
      <w:outlineLvl w:val="3"/>
    </w:pPr>
    <w:rPr>
      <w:rFonts w:ascii="Calibri Light" w:eastAsiaTheme="majorEastAsia" w:hAnsi="Calibri Light" w:cstheme="majorBidi"/>
      <w:b/>
      <w:color w:val="CFAB7A"/>
      <w:sz w:val="24"/>
    </w:rPr>
  </w:style>
  <w:style w:type="character" w:customStyle="1" w:styleId="eTRMHeading4Char">
    <w:name w:val="eTRM Heading 4 Char"/>
    <w:basedOn w:val="DefaultParagraphFont"/>
    <w:link w:val="eTRMHeading4"/>
    <w:rsid w:val="00D97E58"/>
    <w:rPr>
      <w:rFonts w:ascii="Calibri Light" w:eastAsiaTheme="majorEastAsia" w:hAnsi="Calibri Light" w:cstheme="majorBidi"/>
      <w:b/>
      <w:color w:val="CFAB7A"/>
      <w:sz w:val="24"/>
    </w:rPr>
  </w:style>
  <w:style w:type="paragraph" w:customStyle="1" w:styleId="eTRMFootnoteText">
    <w:name w:val="eTRM Footnote Text"/>
    <w:basedOn w:val="Normal"/>
    <w:next w:val="Normal"/>
    <w:link w:val="eTRMFootnoteTextChar"/>
    <w:autoRedefine/>
    <w:qFormat/>
    <w:rsid w:val="00D97E58"/>
    <w:pPr>
      <w:spacing w:before="20" w:after="20" w:line="220" w:lineRule="atLeast"/>
      <w:ind w:left="1350"/>
    </w:pPr>
    <w:rPr>
      <w:rFonts w:ascii="Calibri Light" w:eastAsiaTheme="minorEastAsia" w:hAnsi="Calibri Light"/>
      <w:sz w:val="18"/>
      <w:szCs w:val="24"/>
    </w:rPr>
  </w:style>
  <w:style w:type="character" w:customStyle="1" w:styleId="eTRMFootnoteTextChar">
    <w:name w:val="eTRM Footnote Text Char"/>
    <w:basedOn w:val="DefaultParagraphFont"/>
    <w:link w:val="eTRMFootnoteText"/>
    <w:rsid w:val="00D97E58"/>
    <w:rPr>
      <w:rFonts w:ascii="Calibri Light" w:eastAsiaTheme="minorEastAsia" w:hAnsi="Calibri Light"/>
      <w:sz w:val="18"/>
      <w:szCs w:val="24"/>
    </w:rPr>
  </w:style>
  <w:style w:type="character" w:customStyle="1" w:styleId="UnresolvedMention5">
    <w:name w:val="Unresolved Mention5"/>
    <w:basedOn w:val="DefaultParagraphFont"/>
    <w:uiPriority w:val="99"/>
    <w:semiHidden/>
    <w:unhideWhenUsed/>
    <w:rsid w:val="00AB4A39"/>
    <w:rPr>
      <w:color w:val="605E5C"/>
      <w:shd w:val="clear" w:color="auto" w:fill="E1DFDD"/>
    </w:rPr>
  </w:style>
  <w:style w:type="character" w:customStyle="1" w:styleId="UnresolvedMention6">
    <w:name w:val="Unresolved Mention6"/>
    <w:basedOn w:val="DefaultParagraphFont"/>
    <w:uiPriority w:val="99"/>
    <w:semiHidden/>
    <w:unhideWhenUsed/>
    <w:rsid w:val="00A228E8"/>
    <w:rPr>
      <w:color w:val="605E5C"/>
      <w:shd w:val="clear" w:color="auto" w:fill="E1DFDD"/>
    </w:rPr>
  </w:style>
  <w:style w:type="character" w:customStyle="1" w:styleId="UnresolvedMention7">
    <w:name w:val="Unresolved Mention7"/>
    <w:basedOn w:val="DefaultParagraphFont"/>
    <w:uiPriority w:val="99"/>
    <w:semiHidden/>
    <w:unhideWhenUsed/>
    <w:rsid w:val="001833BB"/>
    <w:rPr>
      <w:color w:val="605E5C"/>
      <w:shd w:val="clear" w:color="auto" w:fill="E1DFDD"/>
    </w:rPr>
  </w:style>
  <w:style w:type="character" w:styleId="UnresolvedMention">
    <w:name w:val="Unresolved Mention"/>
    <w:basedOn w:val="DefaultParagraphFont"/>
    <w:uiPriority w:val="99"/>
    <w:semiHidden/>
    <w:unhideWhenUsed/>
    <w:rsid w:val="007C0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724">
      <w:bodyDiv w:val="1"/>
      <w:marLeft w:val="0"/>
      <w:marRight w:val="0"/>
      <w:marTop w:val="0"/>
      <w:marBottom w:val="0"/>
      <w:divBdr>
        <w:top w:val="none" w:sz="0" w:space="0" w:color="auto"/>
        <w:left w:val="none" w:sz="0" w:space="0" w:color="auto"/>
        <w:bottom w:val="none" w:sz="0" w:space="0" w:color="auto"/>
        <w:right w:val="none" w:sz="0" w:space="0" w:color="auto"/>
      </w:divBdr>
      <w:divsChild>
        <w:div w:id="861284665">
          <w:marLeft w:val="547"/>
          <w:marRight w:val="0"/>
          <w:marTop w:val="200"/>
          <w:marBottom w:val="0"/>
          <w:divBdr>
            <w:top w:val="none" w:sz="0" w:space="0" w:color="auto"/>
            <w:left w:val="none" w:sz="0" w:space="0" w:color="auto"/>
            <w:bottom w:val="none" w:sz="0" w:space="0" w:color="auto"/>
            <w:right w:val="none" w:sz="0" w:space="0" w:color="auto"/>
          </w:divBdr>
        </w:div>
        <w:div w:id="1281716939">
          <w:marLeft w:val="547"/>
          <w:marRight w:val="0"/>
          <w:marTop w:val="200"/>
          <w:marBottom w:val="0"/>
          <w:divBdr>
            <w:top w:val="none" w:sz="0" w:space="0" w:color="auto"/>
            <w:left w:val="none" w:sz="0" w:space="0" w:color="auto"/>
            <w:bottom w:val="none" w:sz="0" w:space="0" w:color="auto"/>
            <w:right w:val="none" w:sz="0" w:space="0" w:color="auto"/>
          </w:divBdr>
        </w:div>
        <w:div w:id="1522166431">
          <w:marLeft w:val="547"/>
          <w:marRight w:val="0"/>
          <w:marTop w:val="200"/>
          <w:marBottom w:val="0"/>
          <w:divBdr>
            <w:top w:val="none" w:sz="0" w:space="0" w:color="auto"/>
            <w:left w:val="none" w:sz="0" w:space="0" w:color="auto"/>
            <w:bottom w:val="none" w:sz="0" w:space="0" w:color="auto"/>
            <w:right w:val="none" w:sz="0" w:space="0" w:color="auto"/>
          </w:divBdr>
        </w:div>
      </w:divsChild>
    </w:div>
    <w:div w:id="125781613">
      <w:bodyDiv w:val="1"/>
      <w:marLeft w:val="0"/>
      <w:marRight w:val="0"/>
      <w:marTop w:val="0"/>
      <w:marBottom w:val="0"/>
      <w:divBdr>
        <w:top w:val="none" w:sz="0" w:space="0" w:color="auto"/>
        <w:left w:val="none" w:sz="0" w:space="0" w:color="auto"/>
        <w:bottom w:val="none" w:sz="0" w:space="0" w:color="auto"/>
        <w:right w:val="none" w:sz="0" w:space="0" w:color="auto"/>
      </w:divBdr>
    </w:div>
    <w:div w:id="252326575">
      <w:bodyDiv w:val="1"/>
      <w:marLeft w:val="0"/>
      <w:marRight w:val="0"/>
      <w:marTop w:val="0"/>
      <w:marBottom w:val="0"/>
      <w:divBdr>
        <w:top w:val="none" w:sz="0" w:space="0" w:color="auto"/>
        <w:left w:val="none" w:sz="0" w:space="0" w:color="auto"/>
        <w:bottom w:val="none" w:sz="0" w:space="0" w:color="auto"/>
        <w:right w:val="none" w:sz="0" w:space="0" w:color="auto"/>
      </w:divBdr>
    </w:div>
    <w:div w:id="299505098">
      <w:bodyDiv w:val="1"/>
      <w:marLeft w:val="0"/>
      <w:marRight w:val="0"/>
      <w:marTop w:val="0"/>
      <w:marBottom w:val="0"/>
      <w:divBdr>
        <w:top w:val="none" w:sz="0" w:space="0" w:color="auto"/>
        <w:left w:val="none" w:sz="0" w:space="0" w:color="auto"/>
        <w:bottom w:val="none" w:sz="0" w:space="0" w:color="auto"/>
        <w:right w:val="none" w:sz="0" w:space="0" w:color="auto"/>
      </w:divBdr>
    </w:div>
    <w:div w:id="334109408">
      <w:bodyDiv w:val="1"/>
      <w:marLeft w:val="0"/>
      <w:marRight w:val="0"/>
      <w:marTop w:val="0"/>
      <w:marBottom w:val="0"/>
      <w:divBdr>
        <w:top w:val="none" w:sz="0" w:space="0" w:color="auto"/>
        <w:left w:val="none" w:sz="0" w:space="0" w:color="auto"/>
        <w:bottom w:val="none" w:sz="0" w:space="0" w:color="auto"/>
        <w:right w:val="none" w:sz="0" w:space="0" w:color="auto"/>
      </w:divBdr>
    </w:div>
    <w:div w:id="387611194">
      <w:bodyDiv w:val="1"/>
      <w:marLeft w:val="0"/>
      <w:marRight w:val="0"/>
      <w:marTop w:val="0"/>
      <w:marBottom w:val="0"/>
      <w:divBdr>
        <w:top w:val="none" w:sz="0" w:space="0" w:color="auto"/>
        <w:left w:val="none" w:sz="0" w:space="0" w:color="auto"/>
        <w:bottom w:val="none" w:sz="0" w:space="0" w:color="auto"/>
        <w:right w:val="none" w:sz="0" w:space="0" w:color="auto"/>
      </w:divBdr>
    </w:div>
    <w:div w:id="389891632">
      <w:bodyDiv w:val="1"/>
      <w:marLeft w:val="0"/>
      <w:marRight w:val="0"/>
      <w:marTop w:val="0"/>
      <w:marBottom w:val="0"/>
      <w:divBdr>
        <w:top w:val="none" w:sz="0" w:space="0" w:color="auto"/>
        <w:left w:val="none" w:sz="0" w:space="0" w:color="auto"/>
        <w:bottom w:val="none" w:sz="0" w:space="0" w:color="auto"/>
        <w:right w:val="none" w:sz="0" w:space="0" w:color="auto"/>
      </w:divBdr>
    </w:div>
    <w:div w:id="1114980499">
      <w:bodyDiv w:val="1"/>
      <w:marLeft w:val="0"/>
      <w:marRight w:val="0"/>
      <w:marTop w:val="0"/>
      <w:marBottom w:val="0"/>
      <w:divBdr>
        <w:top w:val="none" w:sz="0" w:space="0" w:color="auto"/>
        <w:left w:val="none" w:sz="0" w:space="0" w:color="auto"/>
        <w:bottom w:val="none" w:sz="0" w:space="0" w:color="auto"/>
        <w:right w:val="none" w:sz="0" w:space="0" w:color="auto"/>
      </w:divBdr>
    </w:div>
    <w:div w:id="1189954874">
      <w:bodyDiv w:val="1"/>
      <w:marLeft w:val="0"/>
      <w:marRight w:val="0"/>
      <w:marTop w:val="0"/>
      <w:marBottom w:val="0"/>
      <w:divBdr>
        <w:top w:val="none" w:sz="0" w:space="0" w:color="auto"/>
        <w:left w:val="none" w:sz="0" w:space="0" w:color="auto"/>
        <w:bottom w:val="none" w:sz="0" w:space="0" w:color="auto"/>
        <w:right w:val="none" w:sz="0" w:space="0" w:color="auto"/>
      </w:divBdr>
    </w:div>
    <w:div w:id="1204900360">
      <w:bodyDiv w:val="1"/>
      <w:marLeft w:val="0"/>
      <w:marRight w:val="0"/>
      <w:marTop w:val="0"/>
      <w:marBottom w:val="0"/>
      <w:divBdr>
        <w:top w:val="none" w:sz="0" w:space="0" w:color="auto"/>
        <w:left w:val="none" w:sz="0" w:space="0" w:color="auto"/>
        <w:bottom w:val="none" w:sz="0" w:space="0" w:color="auto"/>
        <w:right w:val="none" w:sz="0" w:space="0" w:color="auto"/>
      </w:divBdr>
    </w:div>
    <w:div w:id="1231310448">
      <w:bodyDiv w:val="1"/>
      <w:marLeft w:val="0"/>
      <w:marRight w:val="0"/>
      <w:marTop w:val="0"/>
      <w:marBottom w:val="0"/>
      <w:divBdr>
        <w:top w:val="none" w:sz="0" w:space="0" w:color="auto"/>
        <w:left w:val="none" w:sz="0" w:space="0" w:color="auto"/>
        <w:bottom w:val="none" w:sz="0" w:space="0" w:color="auto"/>
        <w:right w:val="none" w:sz="0" w:space="0" w:color="auto"/>
      </w:divBdr>
    </w:div>
    <w:div w:id="1252667662">
      <w:bodyDiv w:val="1"/>
      <w:marLeft w:val="0"/>
      <w:marRight w:val="0"/>
      <w:marTop w:val="0"/>
      <w:marBottom w:val="0"/>
      <w:divBdr>
        <w:top w:val="none" w:sz="0" w:space="0" w:color="auto"/>
        <w:left w:val="none" w:sz="0" w:space="0" w:color="auto"/>
        <w:bottom w:val="none" w:sz="0" w:space="0" w:color="auto"/>
        <w:right w:val="none" w:sz="0" w:space="0" w:color="auto"/>
      </w:divBdr>
    </w:div>
    <w:div w:id="1353409829">
      <w:bodyDiv w:val="1"/>
      <w:marLeft w:val="0"/>
      <w:marRight w:val="0"/>
      <w:marTop w:val="0"/>
      <w:marBottom w:val="0"/>
      <w:divBdr>
        <w:top w:val="none" w:sz="0" w:space="0" w:color="auto"/>
        <w:left w:val="none" w:sz="0" w:space="0" w:color="auto"/>
        <w:bottom w:val="none" w:sz="0" w:space="0" w:color="auto"/>
        <w:right w:val="none" w:sz="0" w:space="0" w:color="auto"/>
      </w:divBdr>
    </w:div>
    <w:div w:id="1411468108">
      <w:bodyDiv w:val="1"/>
      <w:marLeft w:val="0"/>
      <w:marRight w:val="0"/>
      <w:marTop w:val="0"/>
      <w:marBottom w:val="0"/>
      <w:divBdr>
        <w:top w:val="none" w:sz="0" w:space="0" w:color="auto"/>
        <w:left w:val="none" w:sz="0" w:space="0" w:color="auto"/>
        <w:bottom w:val="none" w:sz="0" w:space="0" w:color="auto"/>
        <w:right w:val="none" w:sz="0" w:space="0" w:color="auto"/>
      </w:divBdr>
    </w:div>
    <w:div w:id="1444572728">
      <w:bodyDiv w:val="1"/>
      <w:marLeft w:val="0"/>
      <w:marRight w:val="0"/>
      <w:marTop w:val="0"/>
      <w:marBottom w:val="0"/>
      <w:divBdr>
        <w:top w:val="none" w:sz="0" w:space="0" w:color="auto"/>
        <w:left w:val="none" w:sz="0" w:space="0" w:color="auto"/>
        <w:bottom w:val="none" w:sz="0" w:space="0" w:color="auto"/>
        <w:right w:val="none" w:sz="0" w:space="0" w:color="auto"/>
      </w:divBdr>
    </w:div>
    <w:div w:id="1462728855">
      <w:bodyDiv w:val="1"/>
      <w:marLeft w:val="0"/>
      <w:marRight w:val="0"/>
      <w:marTop w:val="0"/>
      <w:marBottom w:val="0"/>
      <w:divBdr>
        <w:top w:val="none" w:sz="0" w:space="0" w:color="auto"/>
        <w:left w:val="none" w:sz="0" w:space="0" w:color="auto"/>
        <w:bottom w:val="none" w:sz="0" w:space="0" w:color="auto"/>
        <w:right w:val="none" w:sz="0" w:space="0" w:color="auto"/>
      </w:divBdr>
    </w:div>
    <w:div w:id="1482111026">
      <w:bodyDiv w:val="1"/>
      <w:marLeft w:val="0"/>
      <w:marRight w:val="0"/>
      <w:marTop w:val="0"/>
      <w:marBottom w:val="0"/>
      <w:divBdr>
        <w:top w:val="none" w:sz="0" w:space="0" w:color="auto"/>
        <w:left w:val="none" w:sz="0" w:space="0" w:color="auto"/>
        <w:bottom w:val="none" w:sz="0" w:space="0" w:color="auto"/>
        <w:right w:val="none" w:sz="0" w:space="0" w:color="auto"/>
      </w:divBdr>
    </w:div>
    <w:div w:id="1511875347">
      <w:bodyDiv w:val="1"/>
      <w:marLeft w:val="0"/>
      <w:marRight w:val="0"/>
      <w:marTop w:val="0"/>
      <w:marBottom w:val="0"/>
      <w:divBdr>
        <w:top w:val="none" w:sz="0" w:space="0" w:color="auto"/>
        <w:left w:val="none" w:sz="0" w:space="0" w:color="auto"/>
        <w:bottom w:val="none" w:sz="0" w:space="0" w:color="auto"/>
        <w:right w:val="none" w:sz="0" w:space="0" w:color="auto"/>
      </w:divBdr>
    </w:div>
    <w:div w:id="1651473568">
      <w:bodyDiv w:val="1"/>
      <w:marLeft w:val="0"/>
      <w:marRight w:val="0"/>
      <w:marTop w:val="0"/>
      <w:marBottom w:val="0"/>
      <w:divBdr>
        <w:top w:val="none" w:sz="0" w:space="0" w:color="auto"/>
        <w:left w:val="none" w:sz="0" w:space="0" w:color="auto"/>
        <w:bottom w:val="none" w:sz="0" w:space="0" w:color="auto"/>
        <w:right w:val="none" w:sz="0" w:space="0" w:color="auto"/>
      </w:divBdr>
    </w:div>
    <w:div w:id="1769495761">
      <w:bodyDiv w:val="1"/>
      <w:marLeft w:val="0"/>
      <w:marRight w:val="0"/>
      <w:marTop w:val="0"/>
      <w:marBottom w:val="0"/>
      <w:divBdr>
        <w:top w:val="none" w:sz="0" w:space="0" w:color="auto"/>
        <w:left w:val="none" w:sz="0" w:space="0" w:color="auto"/>
        <w:bottom w:val="none" w:sz="0" w:space="0" w:color="auto"/>
        <w:right w:val="none" w:sz="0" w:space="0" w:color="auto"/>
      </w:divBdr>
      <w:divsChild>
        <w:div w:id="180513041">
          <w:marLeft w:val="0"/>
          <w:marRight w:val="0"/>
          <w:marTop w:val="0"/>
          <w:marBottom w:val="0"/>
          <w:divBdr>
            <w:top w:val="none" w:sz="0" w:space="0" w:color="auto"/>
            <w:left w:val="none" w:sz="0" w:space="0" w:color="auto"/>
            <w:bottom w:val="none" w:sz="0" w:space="0" w:color="auto"/>
            <w:right w:val="none" w:sz="0" w:space="0" w:color="auto"/>
          </w:divBdr>
          <w:divsChild>
            <w:div w:id="265962581">
              <w:marLeft w:val="0"/>
              <w:marRight w:val="0"/>
              <w:marTop w:val="0"/>
              <w:marBottom w:val="0"/>
              <w:divBdr>
                <w:top w:val="none" w:sz="0" w:space="0" w:color="auto"/>
                <w:left w:val="none" w:sz="0" w:space="0" w:color="auto"/>
                <w:bottom w:val="none" w:sz="0" w:space="0" w:color="auto"/>
                <w:right w:val="none" w:sz="0" w:space="0" w:color="auto"/>
              </w:divBdr>
              <w:divsChild>
                <w:div w:id="1362777488">
                  <w:marLeft w:val="0"/>
                  <w:marRight w:val="0"/>
                  <w:marTop w:val="0"/>
                  <w:marBottom w:val="0"/>
                  <w:divBdr>
                    <w:top w:val="none" w:sz="0" w:space="0" w:color="auto"/>
                    <w:left w:val="none" w:sz="0" w:space="0" w:color="auto"/>
                    <w:bottom w:val="none" w:sz="0" w:space="0" w:color="auto"/>
                    <w:right w:val="none" w:sz="0" w:space="0" w:color="auto"/>
                  </w:divBdr>
                  <w:divsChild>
                    <w:div w:id="111162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44759">
      <w:bodyDiv w:val="1"/>
      <w:marLeft w:val="0"/>
      <w:marRight w:val="0"/>
      <w:marTop w:val="0"/>
      <w:marBottom w:val="0"/>
      <w:divBdr>
        <w:top w:val="none" w:sz="0" w:space="0" w:color="auto"/>
        <w:left w:val="none" w:sz="0" w:space="0" w:color="auto"/>
        <w:bottom w:val="none" w:sz="0" w:space="0" w:color="auto"/>
        <w:right w:val="none" w:sz="0" w:space="0" w:color="auto"/>
      </w:divBdr>
    </w:div>
    <w:div w:id="201032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cpuc.ca.gov/General.aspx?id=6442463306"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cpuc.ca.gov/General.aspx?id=6442463306%20"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eeresources.com"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ocs.cpuc.ca.gov/SearchRes.aspx?DocFormat=ALL&amp;DocID=316460506" TargetMode="External"/><Relationship Id="rId3" Type="http://schemas.openxmlformats.org/officeDocument/2006/relationships/hyperlink" Target="http://docs.cpuc.ca.gov/SearchRes.aspx?DocFormat=ALL&amp;DocID=310159146" TargetMode="External"/><Relationship Id="rId7" Type="http://schemas.openxmlformats.org/officeDocument/2006/relationships/hyperlink" Target="https://efiling.energy.ca.gov/Lists/DocketLog.aspx?docketnumber=16-OIR-01" TargetMode="External"/><Relationship Id="rId12" Type="http://schemas.openxmlformats.org/officeDocument/2006/relationships/hyperlink" Target="https://www.cpuc.ca.gov/irp/proposedrsp/" TargetMode="External"/><Relationship Id="rId2" Type="http://schemas.openxmlformats.org/officeDocument/2006/relationships/hyperlink" Target="https://apps.cpuc.ca.gov/apex/f?p=401:56:0::NO:RP,57,RIR:P5_PROCEEDING_SELECT:R1311005" TargetMode="External"/><Relationship Id="rId1" Type="http://schemas.openxmlformats.org/officeDocument/2006/relationships/hyperlink" Target="https://www.cpuc.ca.gov/General.aspx?id=6442463306" TargetMode="External"/><Relationship Id="rId6" Type="http://schemas.openxmlformats.org/officeDocument/2006/relationships/hyperlink" Target="http://docs.cpuc.ca.gov/SearchRes.aspx?DocFormat=ALL&amp;DocID=316460506" TargetMode="External"/><Relationship Id="rId11" Type="http://schemas.openxmlformats.org/officeDocument/2006/relationships/hyperlink" Target="https://www.cpuc.ca.gov/General.aspx?id=5267" TargetMode="External"/><Relationship Id="rId5" Type="http://schemas.openxmlformats.org/officeDocument/2006/relationships/hyperlink" Target="http://docs.cpuc.ca.gov/SearchRes.aspx?DocFormat=ALL&amp;DocID=316460506" TargetMode="External"/><Relationship Id="rId10" Type="http://schemas.openxmlformats.org/officeDocument/2006/relationships/hyperlink" Target="https://www.cpuc.ca.gov/uploadedFiles/CPUCWebsite/Content/UtilitiesIndustries/Energy/EnergyPrograms/ElectPowerProcurementGeneration/irp/2018/2019%20IRP%20Preliminary%20Results%2020191004.pdf" TargetMode="External"/><Relationship Id="rId4" Type="http://schemas.openxmlformats.org/officeDocument/2006/relationships/hyperlink" Target="ftp://ftp2.cpuc.ca.gov/LegacyCPUCDecisionsAndResolutions/Decisions/" TargetMode="External"/><Relationship Id="rId9" Type="http://schemas.openxmlformats.org/officeDocument/2006/relationships/hyperlink" Target="https://leginfo.legislature.ca.gov/faces/billTextClient.xhtml?bill_id=201720180SB1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PG&amp;E%20Rulebook%20Template%202017.dotx" TargetMode="External"/></Relationships>
</file>

<file path=word/theme/theme1.xml><?xml version="1.0" encoding="utf-8"?>
<a:theme xmlns:a="http://schemas.openxmlformats.org/drawingml/2006/main" name="Office Theme">
  <a:themeElements>
    <a:clrScheme name="PGE Colors">
      <a:dk1>
        <a:sysClr val="windowText" lastClr="000000"/>
      </a:dk1>
      <a:lt1>
        <a:sysClr val="window" lastClr="FFFFFF"/>
      </a:lt1>
      <a:dk2>
        <a:srgbClr val="19335E"/>
      </a:dk2>
      <a:lt2>
        <a:srgbClr val="EEECE1"/>
      </a:lt2>
      <a:accent1>
        <a:srgbClr val="00A5DF"/>
      </a:accent1>
      <a:accent2>
        <a:srgbClr val="FFA100"/>
      </a:accent2>
      <a:accent3>
        <a:srgbClr val="777777"/>
      </a:accent3>
      <a:accent4>
        <a:srgbClr val="A3A86B"/>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2019-10-31T00:00:00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bf10aa6d-916d-4fea-8ddc-34226e1e53be">
      <UserInfo>
        <DisplayName>Jay Madden</DisplayName>
        <AccountId>49</AccountId>
        <AccountType/>
      </UserInfo>
      <UserInfo>
        <DisplayName>Cassie Cuaresma</DisplayName>
        <AccountId>31</AccountId>
        <AccountType/>
      </UserInfo>
      <UserInfo>
        <DisplayName>Matthew Horwitz</DisplayName>
        <AccountId>65</AccountId>
        <AccountType/>
      </UserInfo>
      <UserInfo>
        <DisplayName>Akhilesh Endurthy</DisplayName>
        <AccountId>62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0250063D8B6A4A8E4B2ACCC139DF34" ma:contentTypeVersion="6" ma:contentTypeDescription="Create a new document." ma:contentTypeScope="" ma:versionID="0ba951c082dd1bb204a4cbb2462cab62">
  <xsd:schema xmlns:xsd="http://www.w3.org/2001/XMLSchema" xmlns:xs="http://www.w3.org/2001/XMLSchema" xmlns:p="http://schemas.microsoft.com/office/2006/metadata/properties" xmlns:ns2="7c1c7a6f-3265-4509-bbfe-7803c2802302" xmlns:ns3="bf10aa6d-916d-4fea-8ddc-34226e1e53be" targetNamespace="http://schemas.microsoft.com/office/2006/metadata/properties" ma:root="true" ma:fieldsID="9b0916b43a7deead1a6bdb8e7e3b0a3d" ns2:_="" ns3:_="">
    <xsd:import namespace="7c1c7a6f-3265-4509-bbfe-7803c2802302"/>
    <xsd:import namespace="bf10aa6d-916d-4fea-8ddc-34226e1e53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c7a6f-3265-4509-bbfe-7803c2802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10aa6d-916d-4fea-8ddc-34226e1e53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20C487-6700-45A0-B553-ED6B996D38CA}">
  <ds:schemaRefs>
    <ds:schemaRef ds:uri="http://schemas.microsoft.com/office/2006/metadata/properties"/>
    <ds:schemaRef ds:uri="http://schemas.microsoft.com/office/infopath/2007/PartnerControls"/>
    <ds:schemaRef ds:uri="bf10aa6d-916d-4fea-8ddc-34226e1e53be"/>
  </ds:schemaRefs>
</ds:datastoreItem>
</file>

<file path=customXml/itemProps3.xml><?xml version="1.0" encoding="utf-8"?>
<ds:datastoreItem xmlns:ds="http://schemas.openxmlformats.org/officeDocument/2006/customXml" ds:itemID="{169ABBC3-D58A-460C-8241-B014A619B911}">
  <ds:schemaRefs>
    <ds:schemaRef ds:uri="http://schemas.microsoft.com/sharepoint/v3/contenttype/forms"/>
  </ds:schemaRefs>
</ds:datastoreItem>
</file>

<file path=customXml/itemProps4.xml><?xml version="1.0" encoding="utf-8"?>
<ds:datastoreItem xmlns:ds="http://schemas.openxmlformats.org/officeDocument/2006/customXml" ds:itemID="{088F13D4-E302-4515-AB5D-16B29CA62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c7a6f-3265-4509-bbfe-7803c2802302"/>
    <ds:schemaRef ds:uri="bf10aa6d-916d-4fea-8ddc-34226e1e5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A6C246-3F28-4C78-9A49-4EB0E85E3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PG&amp;E Rulebook Template 2017</Template>
  <TotalTime>136</TotalTime>
  <Pages>33</Pages>
  <Words>10860</Words>
  <Characters>61902</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Fuel Substitution Technical Guidance for Energy Efficiency</vt:lpstr>
    </vt:vector>
  </TitlesOfParts>
  <Company>Program Administrator</Company>
  <LinksUpToDate>false</LinksUpToDate>
  <CharactersWithSpaces>72617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 Substitution Technical Guidance for Energy Efficiency</dc:title>
  <dc:subject>Version 1.0</dc:subject>
  <dc:creator>This document is maintained by the: The California Investor-owned Utilities</dc:creator>
  <cp:keywords/>
  <dc:description/>
  <cp:lastModifiedBy>author</cp:lastModifiedBy>
  <cp:revision>18</cp:revision>
  <cp:lastPrinted>2019-02-21T17:24:00Z</cp:lastPrinted>
  <dcterms:created xsi:type="dcterms:W3CDTF">2019-10-29T20:09:00Z</dcterms:created>
  <dcterms:modified xsi:type="dcterms:W3CDTF">2019-11-22T17:54:00Z</dcterms:modified>
  <cp:contentStatus>Revision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0x0101009E0250063D8B6A4A8E4B2ACCC139DF34</vt:lpwstr>
  </property>
  <property fmtid="{D5CDD505-2E9C-101B-9397-08002B2CF9AE}" pid="3" name="_DocHome">
    <vt:i4>-1411322980</vt:i4>
  </property>
</Properties>
</file>