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Franklin Gothic Book" w:hAnsi="Franklin Gothic Book"/>
          <w:sz w:val="22"/>
        </w:rPr>
        <w:id w:val="2047950357"/>
        <w:docPartObj>
          <w:docPartGallery w:val="Cover Pages"/>
          <w:docPartUnique/>
        </w:docPartObj>
      </w:sdtPr>
      <w:sdtEndPr/>
      <w:sdtContent>
        <w:p w14:paraId="7B6243DB" w14:textId="77777777" w:rsidR="001F322C" w:rsidRDefault="001F322C" w:rsidP="000E0419">
          <w:pPr>
            <w:pStyle w:val="TableTextLeftMedium"/>
          </w:pPr>
        </w:p>
        <w:p w14:paraId="03D22565" w14:textId="77777777" w:rsidR="009F5AAD" w:rsidRDefault="009F5AAD" w:rsidP="001F322C"/>
        <w:p w14:paraId="2FF1387C" w14:textId="77777777" w:rsidR="009F5AAD" w:rsidRDefault="009F5AAD" w:rsidP="001F322C"/>
        <w:p w14:paraId="5410A7A4" w14:textId="77777777" w:rsidR="009F5AAD" w:rsidRDefault="009F5AAD" w:rsidP="001F322C"/>
        <w:p w14:paraId="1DFC1A11" w14:textId="77777777" w:rsidR="009F5AAD" w:rsidRDefault="009F5AAD" w:rsidP="001F322C"/>
        <w:p w14:paraId="6B80CFB2" w14:textId="77777777" w:rsidR="0040139D" w:rsidRPr="00332677" w:rsidRDefault="000D4AB9" w:rsidP="0040139D">
          <w:pPr>
            <w:rPr>
              <w:sz w:val="24"/>
              <w:szCs w:val="24"/>
            </w:rPr>
          </w:pPr>
          <w:r>
            <w:rPr>
              <w:noProof/>
            </w:rPr>
            <w:drawing>
              <wp:anchor distT="0" distB="0" distL="114300" distR="114300" simplePos="0" relativeHeight="251658240" behindDoc="1" locked="1" layoutInCell="1" allowOverlap="1" wp14:anchorId="6A93B8AF" wp14:editId="402109C2">
                <wp:simplePos x="0" y="0"/>
                <wp:positionH relativeFrom="margin">
                  <wp:align>center</wp:align>
                </wp:positionH>
                <wp:positionV relativeFrom="margin">
                  <wp:align>top</wp:align>
                </wp:positionV>
                <wp:extent cx="7753350" cy="1651000"/>
                <wp:effectExtent l="0" t="0" r="0" b="63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53350" cy="1651000"/>
                        </a:xfrm>
                        <a:prstGeom prst="rect">
                          <a:avLst/>
                        </a:prstGeom>
                      </pic:spPr>
                    </pic:pic>
                  </a:graphicData>
                </a:graphic>
                <wp14:sizeRelH relativeFrom="margin">
                  <wp14:pctWidth>0</wp14:pctWidth>
                </wp14:sizeRelH>
                <wp14:sizeRelV relativeFrom="margin">
                  <wp14:pctHeight>0</wp14:pctHeight>
                </wp14:sizeRelV>
              </wp:anchor>
            </w:drawing>
          </w:r>
        </w:p>
      </w:sdtContent>
    </w:sdt>
    <w:p w14:paraId="47ACD17B" w14:textId="77777777" w:rsidR="0040139D" w:rsidRPr="00E02F5E" w:rsidRDefault="000D4AB9" w:rsidP="00E02F5E">
      <w:pPr>
        <w:pStyle w:val="Title"/>
        <w:rPr>
          <w:szCs w:val="60"/>
        </w:rPr>
      </w:pPr>
      <w:r w:rsidRPr="00E02F5E">
        <w:rPr>
          <w:szCs w:val="60"/>
        </w:rPr>
        <w:t>Memorandum</w:t>
      </w:r>
    </w:p>
    <w:p w14:paraId="4BED323A" w14:textId="7F716DCE" w:rsidR="0040139D" w:rsidRPr="00900F0B" w:rsidRDefault="000D4AB9" w:rsidP="0040139D">
      <w:pPr>
        <w:spacing w:before="120" w:after="100"/>
        <w:rPr>
          <w:lang w:val="en-ZA"/>
        </w:rPr>
      </w:pPr>
      <w:r w:rsidRPr="006463FA">
        <w:rPr>
          <w:rStyle w:val="IntenseEmphasis"/>
        </w:rPr>
        <w:t>To:</w:t>
      </w:r>
      <w:r w:rsidRPr="00900F0B">
        <w:rPr>
          <w:lang w:val="en-ZA"/>
        </w:rPr>
        <w:tab/>
      </w:r>
      <w:r w:rsidR="00B22EEE">
        <w:rPr>
          <w:lang w:val="en-ZA"/>
        </w:rPr>
        <w:t>Travis Holtby and Eric Johnson, California Public Utilities Commission</w:t>
      </w:r>
    </w:p>
    <w:p w14:paraId="65ACAD0A" w14:textId="4A0AD744" w:rsidR="0040139D" w:rsidRPr="00900F0B" w:rsidRDefault="000D4AB9" w:rsidP="0040139D">
      <w:pPr>
        <w:spacing w:after="100"/>
        <w:rPr>
          <w:lang w:val="en-ZA"/>
        </w:rPr>
      </w:pPr>
      <w:r w:rsidRPr="006463FA">
        <w:rPr>
          <w:rStyle w:val="IntenseEmphasis"/>
        </w:rPr>
        <w:t>From:</w:t>
      </w:r>
      <w:r w:rsidRPr="00900F0B">
        <w:rPr>
          <w:lang w:val="en-ZA"/>
        </w:rPr>
        <w:tab/>
      </w:r>
      <w:r w:rsidR="00B22EEE">
        <w:rPr>
          <w:lang w:val="en-ZA"/>
        </w:rPr>
        <w:t>Opinion Dynamics and Guidehouse</w:t>
      </w:r>
    </w:p>
    <w:p w14:paraId="2C774DE6" w14:textId="60A88D1B" w:rsidR="0040139D" w:rsidRPr="00900F0B" w:rsidRDefault="000D4AB9" w:rsidP="0040139D">
      <w:pPr>
        <w:spacing w:after="100"/>
        <w:rPr>
          <w:lang w:val="en-ZA"/>
        </w:rPr>
      </w:pPr>
      <w:r w:rsidRPr="006463FA">
        <w:rPr>
          <w:rStyle w:val="IntenseEmphasis"/>
        </w:rPr>
        <w:t>Date:</w:t>
      </w:r>
      <w:r w:rsidRPr="00900F0B">
        <w:rPr>
          <w:lang w:val="en-ZA"/>
        </w:rPr>
        <w:tab/>
      </w:r>
      <w:r w:rsidR="003E17E3">
        <w:rPr>
          <w:lang w:val="en-ZA"/>
        </w:rPr>
        <w:t>March 4</w:t>
      </w:r>
      <w:r w:rsidR="00B22EEE">
        <w:rPr>
          <w:lang w:val="en-ZA"/>
        </w:rPr>
        <w:t>, 2024</w:t>
      </w:r>
    </w:p>
    <w:p w14:paraId="77F42E4B" w14:textId="78038471" w:rsidR="0040139D" w:rsidRPr="00900F0B" w:rsidRDefault="000D4AB9" w:rsidP="0040139D">
      <w:pPr>
        <w:spacing w:after="100"/>
        <w:rPr>
          <w:lang w:val="en-ZA"/>
        </w:rPr>
      </w:pPr>
      <w:r w:rsidRPr="006463FA">
        <w:rPr>
          <w:rStyle w:val="IntenseEmphasis"/>
        </w:rPr>
        <w:t>Re:</w:t>
      </w:r>
      <w:r w:rsidRPr="00900F0B">
        <w:rPr>
          <w:lang w:val="en-ZA"/>
        </w:rPr>
        <w:tab/>
      </w:r>
      <w:r w:rsidR="00011F83">
        <w:rPr>
          <w:lang w:val="en-ZA"/>
        </w:rPr>
        <w:t>CPUC Fuel Substitution Infrastructure Market Study – Data Tool Methodology</w:t>
      </w:r>
    </w:p>
    <w:p w14:paraId="6DA0E6DC" w14:textId="77777777" w:rsidR="0040139D" w:rsidRDefault="0040139D" w:rsidP="0040139D">
      <w:pPr>
        <w:sectPr w:rsidR="0040139D" w:rsidSect="00B06F51">
          <w:headerReference w:type="default" r:id="rId11"/>
          <w:footerReference w:type="default" r:id="rId12"/>
          <w:type w:val="continuous"/>
          <w:pgSz w:w="12240" w:h="15840" w:code="1"/>
          <w:pgMar w:top="39" w:right="567" w:bottom="567" w:left="567" w:header="142" w:footer="340" w:gutter="0"/>
          <w:cols w:space="708"/>
          <w:titlePg/>
          <w:docGrid w:linePitch="360"/>
        </w:sectPr>
      </w:pPr>
    </w:p>
    <w:p w14:paraId="50C56A40" w14:textId="77777777" w:rsidR="0040139D" w:rsidRDefault="000D4AB9" w:rsidP="0040139D">
      <w:r>
        <w:rPr>
          <w:noProof/>
        </w:rPr>
        <mc:AlternateContent>
          <mc:Choice Requires="wps">
            <w:drawing>
              <wp:anchor distT="0" distB="0" distL="114300" distR="114300" simplePos="0" relativeHeight="251659264" behindDoc="0" locked="0" layoutInCell="1" allowOverlap="1" wp14:anchorId="4E803ECD" wp14:editId="28F62AD2">
                <wp:simplePos x="0" y="0"/>
                <wp:positionH relativeFrom="column">
                  <wp:posOffset>10069</wp:posOffset>
                </wp:positionH>
                <wp:positionV relativeFrom="paragraph">
                  <wp:posOffset>125549</wp:posOffset>
                </wp:positionV>
                <wp:extent cx="7075715" cy="0"/>
                <wp:effectExtent l="0" t="0" r="0" b="0"/>
                <wp:wrapNone/>
                <wp:docPr id="2143302414" name="Straight Connector 1"/>
                <wp:cNvGraphicFramePr/>
                <a:graphic xmlns:a="http://schemas.openxmlformats.org/drawingml/2006/main">
                  <a:graphicData uri="http://schemas.microsoft.com/office/word/2010/wordprocessingShape">
                    <wps:wsp>
                      <wps:cNvCnPr/>
                      <wps:spPr>
                        <a:xfrm>
                          <a:off x="0" y="0"/>
                          <a:ext cx="7075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A2DA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9pt" to="557.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" strokecolor="#172b54 [3204]" strokeweight=".5pt">
                <v:stroke joinstyle="miter"/>
              </v:line>
            </w:pict>
          </mc:Fallback>
        </mc:AlternateContent>
      </w:r>
    </w:p>
    <w:p w14:paraId="4089FB7B" w14:textId="77777777" w:rsidR="0040139D" w:rsidRPr="005529E5" w:rsidRDefault="000D4AB9" w:rsidP="005529E5">
      <w:pPr>
        <w:pStyle w:val="Heading1"/>
        <w:rPr>
          <w:rStyle w:val="Strong"/>
        </w:rPr>
      </w:pPr>
      <w:r w:rsidRPr="0042448A">
        <w:t>Introduction</w:t>
      </w:r>
    </w:p>
    <w:p w14:paraId="1E7C1CBF" w14:textId="6878E76C" w:rsidR="00011F83" w:rsidRDefault="00011F83" w:rsidP="008530C3">
      <w:pPr>
        <w:pStyle w:val="TOC1"/>
      </w:pPr>
      <w:r>
        <w:t xml:space="preserve">This document </w:t>
      </w:r>
      <w:r w:rsidR="005A57A7">
        <w:t>accompanies</w:t>
      </w:r>
      <w:r>
        <w:t xml:space="preserve"> the </w:t>
      </w:r>
      <w:r w:rsidR="00226263">
        <w:t>Excel</w:t>
      </w:r>
      <w:r>
        <w:t xml:space="preserve">-based workbook provided to the </w:t>
      </w:r>
      <w:r w:rsidR="008530C3">
        <w:t>California Public Utilities Commission (</w:t>
      </w:r>
      <w:r>
        <w:t>CPUC</w:t>
      </w:r>
      <w:r w:rsidR="008530C3">
        <w:t>)</w:t>
      </w:r>
      <w:r>
        <w:t xml:space="preserve"> in </w:t>
      </w:r>
      <w:r w:rsidR="005A57A7">
        <w:t>February</w:t>
      </w:r>
      <w:r>
        <w:t xml:space="preserve"> 2024 for the Fuel Substi</w:t>
      </w:r>
      <w:r w:rsidR="007D62DA">
        <w:t>tu</w:t>
      </w:r>
      <w:r>
        <w:t xml:space="preserve">tion Infrastructure </w:t>
      </w:r>
      <w:r w:rsidR="005A57A7">
        <w:t>M</w:t>
      </w:r>
      <w:r>
        <w:t xml:space="preserve">arket </w:t>
      </w:r>
      <w:r w:rsidR="005A57A7">
        <w:t>S</w:t>
      </w:r>
      <w:r>
        <w:t xml:space="preserve">tudy. </w:t>
      </w:r>
      <w:r w:rsidR="005A57A7">
        <w:t>Opinion Dynamics developed the data tool</w:t>
      </w:r>
      <w:r>
        <w:t xml:space="preserve"> to help review the </w:t>
      </w:r>
      <w:r w:rsidR="005A57A7">
        <w:t>fuel substitution scenario outputs and pricing analyses</w:t>
      </w:r>
      <w:r>
        <w:t xml:space="preserve"> completed </w:t>
      </w:r>
      <w:r w:rsidR="005A57A7">
        <w:t>in</w:t>
      </w:r>
      <w:r>
        <w:t xml:space="preserve"> this study</w:t>
      </w:r>
      <w:r w:rsidR="006D7F3F">
        <w:t>. The study</w:t>
      </w:r>
      <w:r w:rsidR="00F5485F">
        <w:t xml:space="preserve"> included</w:t>
      </w:r>
      <w:r w:rsidR="00514FAB">
        <w:t xml:space="preserve"> a residential partic</w:t>
      </w:r>
      <w:r w:rsidR="007D62DA">
        <w:t>i</w:t>
      </w:r>
      <w:r w:rsidR="00514FAB">
        <w:t xml:space="preserve">pant survey, a </w:t>
      </w:r>
      <w:r w:rsidR="00B826C1">
        <w:t xml:space="preserve">commercial business survey, and an electrician survey </w:t>
      </w:r>
      <w:r w:rsidR="005A57A7">
        <w:t>covering</w:t>
      </w:r>
      <w:r w:rsidR="00B61C91">
        <w:t xml:space="preserve"> </w:t>
      </w:r>
      <w:r w:rsidR="00B826C1">
        <w:t>residential and comm</w:t>
      </w:r>
      <w:r w:rsidR="00B61C91">
        <w:t>e</w:t>
      </w:r>
      <w:r w:rsidR="00B826C1">
        <w:t>rcial elements</w:t>
      </w:r>
      <w:r w:rsidR="00B61C91">
        <w:t xml:space="preserve">. </w:t>
      </w:r>
      <w:r>
        <w:t>Below</w:t>
      </w:r>
      <w:r w:rsidR="007D62DA">
        <w:t>,</w:t>
      </w:r>
      <w:r>
        <w:t xml:space="preserve"> we provide a brief overview of the various tabs </w:t>
      </w:r>
      <w:r w:rsidR="005A57A7">
        <w:t>included in the workbook and the critical analyses</w:t>
      </w:r>
      <w:r>
        <w:t xml:space="preserve"> used to generate fuel substi</w:t>
      </w:r>
      <w:r w:rsidR="00DD26EF">
        <w:t>tu</w:t>
      </w:r>
      <w:r>
        <w:t>tion scenario resu</w:t>
      </w:r>
      <w:r w:rsidR="00EC0559">
        <w:t>lt</w:t>
      </w:r>
      <w:r>
        <w:t xml:space="preserve">s and associated </w:t>
      </w:r>
      <w:r w:rsidR="00EC0559">
        <w:t>infrastructure costs</w:t>
      </w:r>
      <w:r>
        <w:t xml:space="preserve">. </w:t>
      </w:r>
      <w:r w:rsidR="005A57A7">
        <w:t>The overall draft report will provide additional details about the analyses and results</w:t>
      </w:r>
      <w:r w:rsidR="00B22B26">
        <w:t xml:space="preserve">. </w:t>
      </w:r>
    </w:p>
    <w:p w14:paraId="0F7177F8" w14:textId="77777777" w:rsidR="00011F83" w:rsidRDefault="00011F83" w:rsidP="00011F83">
      <w:pPr>
        <w:pStyle w:val="Heading1"/>
      </w:pPr>
      <w:r>
        <w:t>Overview of Workbook</w:t>
      </w:r>
    </w:p>
    <w:p w14:paraId="08817C8C" w14:textId="7498EC6B" w:rsidR="006463FA" w:rsidRDefault="00011F83" w:rsidP="00011F83">
      <w:r>
        <w:t>Below</w:t>
      </w:r>
      <w:r w:rsidR="000645E3">
        <w:t xml:space="preserve"> is a description for</w:t>
      </w:r>
      <w:r>
        <w:t xml:space="preserve"> each of the tabs </w:t>
      </w:r>
      <w:r w:rsidR="005A57A7">
        <w:t>included in</w:t>
      </w:r>
      <w:r>
        <w:t xml:space="preserve"> the workbook. The workbook </w:t>
      </w:r>
      <w:r w:rsidR="005A57A7">
        <w:t>contains a data dictionary tab describing</w:t>
      </w:r>
      <w:r>
        <w:t xml:space="preserve"> the variable definitions associated with each</w:t>
      </w:r>
      <w:r w:rsidR="005A57A7">
        <w:t xml:space="preserve"> scenario</w:t>
      </w:r>
      <w:r>
        <w:t xml:space="preserve"> tab. </w:t>
      </w:r>
    </w:p>
    <w:p w14:paraId="731E8DAD" w14:textId="60380969" w:rsidR="00770F41" w:rsidRDefault="00770F41" w:rsidP="00011F83">
      <w:pPr>
        <w:pStyle w:val="ListBullet"/>
      </w:pPr>
      <w:proofErr w:type="spellStart"/>
      <w:r>
        <w:t>Scenario_Results_Summary</w:t>
      </w:r>
      <w:proofErr w:type="spellEnd"/>
      <w:r>
        <w:t xml:space="preserve">: This tab </w:t>
      </w:r>
      <w:r w:rsidR="005A57A7">
        <w:t>summarizes</w:t>
      </w:r>
      <w:r>
        <w:t xml:space="preserve"> the key findings from each sector and each scenario considered in our analyses. </w:t>
      </w:r>
    </w:p>
    <w:p w14:paraId="0E0774D7" w14:textId="24CD4D63" w:rsidR="00011F83" w:rsidRDefault="00011F83" w:rsidP="00011F83">
      <w:pPr>
        <w:pStyle w:val="ListBullet"/>
      </w:pPr>
      <w:proofErr w:type="spellStart"/>
      <w:r>
        <w:t>Residential_</w:t>
      </w:r>
      <w:r w:rsidR="00FC7D01">
        <w:t>CR-BldgType</w:t>
      </w:r>
      <w:proofErr w:type="spellEnd"/>
      <w:r>
        <w:t xml:space="preserve">: This tab presents the residential scenario and pricing results by fuel substitution scenario, climate region, and building type. </w:t>
      </w:r>
    </w:p>
    <w:p w14:paraId="2D298188" w14:textId="06017507" w:rsidR="00011F83" w:rsidRDefault="00011F83" w:rsidP="00011F83">
      <w:pPr>
        <w:pStyle w:val="ListBullet"/>
      </w:pPr>
      <w:proofErr w:type="spellStart"/>
      <w:r>
        <w:t>Residential_</w:t>
      </w:r>
      <w:r w:rsidR="00FC7D01">
        <w:t>BV-BldgType</w:t>
      </w:r>
      <w:proofErr w:type="spellEnd"/>
      <w:r>
        <w:t xml:space="preserve">: This tab presents the residential scenario and pricing results by fuel substitution scenario, building vintage, and building type. </w:t>
      </w:r>
    </w:p>
    <w:p w14:paraId="3C093C0B" w14:textId="00F34658" w:rsidR="00011F83" w:rsidRDefault="00EC0559" w:rsidP="00011F83">
      <w:pPr>
        <w:pStyle w:val="ListBullet"/>
      </w:pPr>
      <w:proofErr w:type="spellStart"/>
      <w:r>
        <w:t>Nonres</w:t>
      </w:r>
      <w:r w:rsidR="00011F83">
        <w:t>_</w:t>
      </w:r>
      <w:r w:rsidR="00FC7D01">
        <w:t>CR</w:t>
      </w:r>
      <w:proofErr w:type="spellEnd"/>
      <w:r w:rsidR="00011F83">
        <w:t>:</w:t>
      </w:r>
      <w:r>
        <w:t xml:space="preserve"> This tab presents the nonresidential scenario and pricing results by fuel substitution scenario and climate region.</w:t>
      </w:r>
    </w:p>
    <w:p w14:paraId="0158A61B" w14:textId="0FDE454F" w:rsidR="00011F83" w:rsidRDefault="00EC0559" w:rsidP="00011F83">
      <w:pPr>
        <w:pStyle w:val="ListBullet"/>
      </w:pPr>
      <w:proofErr w:type="spellStart"/>
      <w:r>
        <w:t>Nonres</w:t>
      </w:r>
      <w:r w:rsidR="00011F83">
        <w:t>_</w:t>
      </w:r>
      <w:r w:rsidR="00FC7D01">
        <w:t>BldgType</w:t>
      </w:r>
      <w:proofErr w:type="spellEnd"/>
      <w:r w:rsidR="00011F83">
        <w:t>:</w:t>
      </w:r>
      <w:r>
        <w:t xml:space="preserve"> This tab presents the nonresidential scenario and pricing results by fuel substitution scenario and building type. </w:t>
      </w:r>
    </w:p>
    <w:p w14:paraId="4A81605C" w14:textId="5C9D2E48" w:rsidR="00011B72" w:rsidRDefault="00011B72" w:rsidP="00011F83">
      <w:pPr>
        <w:pStyle w:val="ListBullet"/>
      </w:pPr>
      <w:r>
        <w:t>Statewide Weighted Results: This tab presents the overall statewide weighted results associate</w:t>
      </w:r>
      <w:r w:rsidR="00DD26EF">
        <w:t>d</w:t>
      </w:r>
      <w:r>
        <w:t xml:space="preserve"> with residential and nonresidential fuel </w:t>
      </w:r>
      <w:r w:rsidR="008B541D">
        <w:t>substitution</w:t>
      </w:r>
      <w:r>
        <w:t xml:space="preserve"> scenarios and building types. </w:t>
      </w:r>
    </w:p>
    <w:p w14:paraId="4F868E63" w14:textId="1DA31323" w:rsidR="00EC0559" w:rsidRDefault="00EC0559" w:rsidP="00011F83">
      <w:pPr>
        <w:pStyle w:val="ListBullet"/>
      </w:pPr>
      <w:proofErr w:type="spellStart"/>
      <w:r>
        <w:t>Res_CostSummary</w:t>
      </w:r>
      <w:proofErr w:type="spellEnd"/>
      <w:r>
        <w:t xml:space="preserve">: This tab </w:t>
      </w:r>
      <w:r w:rsidR="005A57A7">
        <w:t>summarizes</w:t>
      </w:r>
      <w:r>
        <w:t xml:space="preserve"> the electrician pricing for various fuel substitution scenarios from the residential electrician survey. </w:t>
      </w:r>
    </w:p>
    <w:p w14:paraId="19F74AA3" w14:textId="74929C12" w:rsidR="00EC0559" w:rsidRDefault="00EC0559" w:rsidP="00011F83">
      <w:pPr>
        <w:pStyle w:val="ListBullet"/>
      </w:pPr>
      <w:proofErr w:type="spellStart"/>
      <w:r>
        <w:lastRenderedPageBreak/>
        <w:t>Nonres_CostSummary</w:t>
      </w:r>
      <w:proofErr w:type="spellEnd"/>
      <w:r>
        <w:t xml:space="preserve">: This tab </w:t>
      </w:r>
      <w:r w:rsidR="005A57A7">
        <w:t>summarizes</w:t>
      </w:r>
      <w:r>
        <w:t xml:space="preserve"> the electrician pricing for various fuel substitution scenarios from the commercial electrician survey. </w:t>
      </w:r>
    </w:p>
    <w:p w14:paraId="3125DB03" w14:textId="5EB762A5" w:rsidR="0095766B" w:rsidRDefault="0095766B" w:rsidP="00011F83">
      <w:pPr>
        <w:pStyle w:val="ListBullet"/>
      </w:pPr>
      <w:r>
        <w:t xml:space="preserve">Summary-Multivariate-Res: This tab provides the results of a multivariate analysis for the residential fuel substitution scenarios. </w:t>
      </w:r>
      <w:r w:rsidR="005A57A7">
        <w:t xml:space="preserve">The team provides an overview of the regression analyses </w:t>
      </w:r>
      <w:r w:rsidR="00B22B26">
        <w:t xml:space="preserve">at the end of this document. </w:t>
      </w:r>
    </w:p>
    <w:p w14:paraId="18E83A3D" w14:textId="130A694C" w:rsidR="0095766B" w:rsidRDefault="0095766B" w:rsidP="005A57A7">
      <w:pPr>
        <w:pStyle w:val="ListBullet"/>
      </w:pPr>
      <w:r>
        <w:t>Summary-Multivariate-</w:t>
      </w:r>
      <w:proofErr w:type="spellStart"/>
      <w:r>
        <w:t>NonRes</w:t>
      </w:r>
      <w:proofErr w:type="spellEnd"/>
      <w:r>
        <w:t>: This tab provides the results of a multivariate analysis for the nonresidential fuel substitution scenarios.</w:t>
      </w:r>
      <w:r w:rsidR="00B22B26" w:rsidRPr="00B22B26">
        <w:t xml:space="preserve"> </w:t>
      </w:r>
      <w:r w:rsidR="005A57A7">
        <w:t xml:space="preserve">The team provides an overview of the regression analyses at the end of this document. </w:t>
      </w:r>
      <w:r w:rsidR="00B22B26">
        <w:t xml:space="preserve"> </w:t>
      </w:r>
    </w:p>
    <w:p w14:paraId="075A8DBF" w14:textId="4B885FCE" w:rsidR="0095766B" w:rsidRDefault="0095766B" w:rsidP="00011F83">
      <w:pPr>
        <w:pStyle w:val="ListBullet"/>
      </w:pPr>
      <w:proofErr w:type="spellStart"/>
      <w:r>
        <w:t>ResRawDictionary</w:t>
      </w:r>
      <w:proofErr w:type="spellEnd"/>
      <w:r>
        <w:t xml:space="preserve">: This tab presents a data dictionary for the </w:t>
      </w:r>
      <w:proofErr w:type="spellStart"/>
      <w:r>
        <w:t>ResRawOutputs</w:t>
      </w:r>
      <w:proofErr w:type="spellEnd"/>
      <w:r>
        <w:t xml:space="preserve"> dataset. </w:t>
      </w:r>
    </w:p>
    <w:p w14:paraId="538E5907" w14:textId="1FDF7F2A" w:rsidR="0095766B" w:rsidRDefault="0095766B" w:rsidP="00011F83">
      <w:pPr>
        <w:pStyle w:val="ListBullet"/>
      </w:pPr>
      <w:proofErr w:type="spellStart"/>
      <w:r>
        <w:t>ResRawOutputs</w:t>
      </w:r>
      <w:proofErr w:type="spellEnd"/>
      <w:r>
        <w:t xml:space="preserve">: This tab presents the raw output data associated with the residential scenario analysis. </w:t>
      </w:r>
    </w:p>
    <w:p w14:paraId="0BDB7125" w14:textId="05BF98F8" w:rsidR="0095766B" w:rsidRDefault="0095766B" w:rsidP="00011F83">
      <w:pPr>
        <w:pStyle w:val="ListBullet"/>
      </w:pPr>
      <w:proofErr w:type="spellStart"/>
      <w:r>
        <w:t>NonResRawDictionary</w:t>
      </w:r>
      <w:proofErr w:type="spellEnd"/>
      <w:r>
        <w:t xml:space="preserve">: This tab presents a data dictionary for the </w:t>
      </w:r>
      <w:proofErr w:type="spellStart"/>
      <w:r>
        <w:t>NonResRawOutputs</w:t>
      </w:r>
      <w:proofErr w:type="spellEnd"/>
      <w:r>
        <w:t xml:space="preserve"> dataset. </w:t>
      </w:r>
    </w:p>
    <w:p w14:paraId="42FEE4D7" w14:textId="4FDB0789" w:rsidR="0095766B" w:rsidRDefault="0095766B" w:rsidP="00011F83">
      <w:pPr>
        <w:pStyle w:val="ListBullet"/>
      </w:pPr>
      <w:proofErr w:type="spellStart"/>
      <w:r>
        <w:t>NonResRawOutputs</w:t>
      </w:r>
      <w:proofErr w:type="spellEnd"/>
      <w:r>
        <w:t xml:space="preserve">: This tab presents the raw output data associated with the nonresidential scenario analysis. </w:t>
      </w:r>
    </w:p>
    <w:p w14:paraId="0B7D4675" w14:textId="117642AF" w:rsidR="0095766B" w:rsidRDefault="0095766B" w:rsidP="00011F83">
      <w:pPr>
        <w:pStyle w:val="ListBullet"/>
      </w:pPr>
      <w:proofErr w:type="spellStart"/>
      <w:r>
        <w:t>ElectricianRawOutputs</w:t>
      </w:r>
      <w:proofErr w:type="spellEnd"/>
      <w:r>
        <w:t xml:space="preserve">: </w:t>
      </w:r>
      <w:r w:rsidR="00EB1EC2">
        <w:t>This tab presents the raw output data from the electrician survey for residential and commercial electricians. Please see the electrician survey</w:t>
      </w:r>
      <w:r w:rsidR="00B22B26">
        <w:t xml:space="preserve"> at the end of this document</w:t>
      </w:r>
      <w:r w:rsidR="00EB1EC2">
        <w:t xml:space="preserve"> for the variable labels associated with specific question outputs.</w:t>
      </w:r>
      <w:r w:rsidR="00E0122B">
        <w:t xml:space="preserve"> </w:t>
      </w:r>
    </w:p>
    <w:p w14:paraId="64DBAB82" w14:textId="77777777" w:rsidR="00011F83" w:rsidRDefault="00011F83" w:rsidP="00011F83">
      <w:pPr>
        <w:pStyle w:val="ListBullet"/>
        <w:numPr>
          <w:ilvl w:val="0"/>
          <w:numId w:val="0"/>
        </w:numPr>
        <w:ind w:left="465" w:hanging="285"/>
      </w:pPr>
    </w:p>
    <w:p w14:paraId="3838356B" w14:textId="2C687B7A" w:rsidR="00011F83" w:rsidRDefault="00011F83" w:rsidP="00011F83">
      <w:pPr>
        <w:pStyle w:val="Heading1"/>
      </w:pPr>
      <w:r>
        <w:t>Key Analyses and Assumptions</w:t>
      </w:r>
    </w:p>
    <w:p w14:paraId="724E3103" w14:textId="4A4224EC" w:rsidR="006D7F3F" w:rsidRDefault="00172059" w:rsidP="00011F83">
      <w:r>
        <w:t>T</w:t>
      </w:r>
      <w:r w:rsidR="00112DC5">
        <w:t xml:space="preserve">he team used </w:t>
      </w:r>
      <w:r w:rsidR="006D7F3F">
        <w:t xml:space="preserve">the residential occupant and commercial customer surveys to understand the </w:t>
      </w:r>
      <w:r w:rsidR="00112DC5">
        <w:t>infrastructure upgrades</w:t>
      </w:r>
      <w:r w:rsidR="006D7F3F">
        <w:t xml:space="preserve"> needed to support fuel substitution measures in these markets. The surveys gathered information on the existing electrical panel size and the number, type, and fuel for key equipment types. </w:t>
      </w:r>
      <w:r w:rsidR="00112DC5">
        <w:t>The team used this information</w:t>
      </w:r>
      <w:r w:rsidR="006D7F3F">
        <w:t xml:space="preserve"> to assess which projects are likely to need infrastructure upgrades due to electrical panel capacity constraints or space constraints. </w:t>
      </w:r>
      <w:r w:rsidR="00112DC5">
        <w:t>The overall report will discuss t</w:t>
      </w:r>
      <w:r w:rsidR="006D7F3F">
        <w:t>he analyses and the scenario results in detail</w:t>
      </w:r>
      <w:r w:rsidR="00112DC5">
        <w:t>.</w:t>
      </w:r>
      <w:r w:rsidR="006D7F3F">
        <w:t xml:space="preserve"> </w:t>
      </w:r>
    </w:p>
    <w:p w14:paraId="55637BD2" w14:textId="7B86B01F" w:rsidR="00011F83" w:rsidRDefault="00011F83" w:rsidP="00011F83">
      <w:r>
        <w:t>Below</w:t>
      </w:r>
      <w:r w:rsidR="00112DC5">
        <w:t>,</w:t>
      </w:r>
      <w:r>
        <w:t xml:space="preserve"> we detail the </w:t>
      </w:r>
      <w:r w:rsidR="00112DC5">
        <w:t>critical</w:t>
      </w:r>
      <w:r>
        <w:t xml:space="preserve"> analyses and assumptions </w:t>
      </w:r>
      <w:r w:rsidR="00112DC5">
        <w:t>the team</w:t>
      </w:r>
      <w:r>
        <w:t xml:space="preserve"> used to develop some of the </w:t>
      </w:r>
      <w:r w:rsidR="00DD26EF">
        <w:t>main</w:t>
      </w:r>
      <w:r>
        <w:t xml:space="preserve"> inputs for the workbook. </w:t>
      </w:r>
    </w:p>
    <w:p w14:paraId="5FC8AAC7" w14:textId="3FE2B4F0" w:rsidR="00011F83" w:rsidRDefault="007F1663" w:rsidP="00011F83">
      <w:pPr>
        <w:pStyle w:val="Heading2"/>
      </w:pPr>
      <w:r>
        <w:t>Panel Optimization vs. Panel Upgrade Frequency</w:t>
      </w:r>
    </w:p>
    <w:p w14:paraId="161EFEEC" w14:textId="64DBFC10" w:rsidR="00011F83" w:rsidRDefault="00B66D02" w:rsidP="00011F83">
      <w:r>
        <w:t>The electrician survey asked residential and commercial electricians how often it is possible to optimize space in an electric panel (i.e., create space in a panel with no open breaker slots but excess capacity) instead of</w:t>
      </w:r>
      <w:r w:rsidR="00011F83">
        <w:t xml:space="preserve"> upgrading the panel to a higher amperage. For each sector, </w:t>
      </w:r>
      <w:r>
        <w:t xml:space="preserve">the survey presented </w:t>
      </w:r>
      <w:r w:rsidR="00011F83">
        <w:t>respondents with the following response options: Always, Often, Sometimes, Rarely, Never, and Don</w:t>
      </w:r>
      <w:r w:rsidR="00172059">
        <w:t>'</w:t>
      </w:r>
      <w:r w:rsidR="00011F83">
        <w:t xml:space="preserve">t </w:t>
      </w:r>
      <w:r>
        <w:t>K</w:t>
      </w:r>
      <w:r w:rsidR="00011F83">
        <w:t xml:space="preserve">now. The team assigned the following weights to these responses to develop a weighted average </w:t>
      </w:r>
      <w:r>
        <w:t>representing</w:t>
      </w:r>
      <w:r w:rsidR="00011F83">
        <w:t xml:space="preserve"> the frequency with which optimization strategies are </w:t>
      </w:r>
      <w:r w:rsidR="00172059">
        <w:t>used</w:t>
      </w:r>
      <w:r w:rsidR="00011F83">
        <w:t>.</w:t>
      </w:r>
    </w:p>
    <w:p w14:paraId="49997A3F" w14:textId="27D6C257" w:rsidR="00011F83" w:rsidRDefault="00011F83" w:rsidP="007F1663">
      <w:pPr>
        <w:pStyle w:val="ListBullet"/>
      </w:pPr>
      <w:r>
        <w:t>Always – 100%</w:t>
      </w:r>
    </w:p>
    <w:p w14:paraId="5C32858D" w14:textId="2B0502C3" w:rsidR="00011F83" w:rsidRDefault="00011F83" w:rsidP="007F1663">
      <w:pPr>
        <w:pStyle w:val="ListBullet"/>
      </w:pPr>
      <w:r>
        <w:t>Often – 75%</w:t>
      </w:r>
    </w:p>
    <w:p w14:paraId="2EFCE6F6" w14:textId="2E11A43F" w:rsidR="00011F83" w:rsidRDefault="00011F83" w:rsidP="007F1663">
      <w:pPr>
        <w:pStyle w:val="ListBullet"/>
      </w:pPr>
      <w:r>
        <w:t>Sometimes – 50%</w:t>
      </w:r>
    </w:p>
    <w:p w14:paraId="4D977969" w14:textId="5540147D" w:rsidR="00011F83" w:rsidRDefault="00011F83" w:rsidP="007F1663">
      <w:pPr>
        <w:pStyle w:val="ListBullet"/>
      </w:pPr>
      <w:r>
        <w:t>Rarely – 25%</w:t>
      </w:r>
    </w:p>
    <w:p w14:paraId="52817E3C" w14:textId="086BB90C" w:rsidR="00011F83" w:rsidRDefault="00011F83" w:rsidP="007F1663">
      <w:pPr>
        <w:pStyle w:val="ListBullet"/>
      </w:pPr>
      <w:r>
        <w:t>Never – 0%</w:t>
      </w:r>
    </w:p>
    <w:p w14:paraId="3EE7C4C5" w14:textId="0A6E7E2E" w:rsidR="00011F83" w:rsidRDefault="00011F83" w:rsidP="00011F83">
      <w:r>
        <w:t xml:space="preserve">The team multiplied these </w:t>
      </w:r>
      <w:r w:rsidR="00282AAB">
        <w:t xml:space="preserve">survey response </w:t>
      </w:r>
      <w:r>
        <w:t xml:space="preserve">weights by the percentage of respondents within each category to calculate the overall </w:t>
      </w:r>
      <w:r w:rsidR="00172059">
        <w:t>rat</w:t>
      </w:r>
      <w:r>
        <w:t>e of projects likely to utilize an optimization approach in a space</w:t>
      </w:r>
      <w:r w:rsidR="00B66D02">
        <w:t>-</w:t>
      </w:r>
      <w:r>
        <w:t xml:space="preserve">constrained panel with available </w:t>
      </w:r>
      <w:r w:rsidR="00EC0559">
        <w:lastRenderedPageBreak/>
        <w:t>remaining</w:t>
      </w:r>
      <w:r>
        <w:t xml:space="preserve"> capacity. Interestingly, the results for residential and commercial electricians were very similar. Residential electricians reported using optimization approaches 52% of the time, while commercial electricians </w:t>
      </w:r>
      <w:r w:rsidR="00B66D02">
        <w:t>indicated they use</w:t>
      </w:r>
      <w:r>
        <w:t xml:space="preserve"> optimization approaches 53% of the time. </w:t>
      </w:r>
      <w:r w:rsidR="00B66D02">
        <w:t>The team used these values</w:t>
      </w:r>
      <w:r>
        <w:t xml:space="preserve"> to adjust the fuel substitution scenario outputs to reflect a more realistic proportion of projects that are likely to have panel optimization work completed compared to a panel upgrade. Th</w:t>
      </w:r>
      <w:r w:rsidR="00EC0559">
        <w:t>ese</w:t>
      </w:r>
      <w:r>
        <w:t xml:space="preserve"> adjustment factors </w:t>
      </w:r>
      <w:r w:rsidR="00EC0559">
        <w:t>are</w:t>
      </w:r>
      <w:r>
        <w:t xml:space="preserve"> </w:t>
      </w:r>
      <w:r w:rsidR="00172059">
        <w:t>under the workbook's 'Panel Optimization Adjustment Factor' header</w:t>
      </w:r>
      <w:r w:rsidR="00EC0559">
        <w:t xml:space="preserve">. </w:t>
      </w:r>
    </w:p>
    <w:p w14:paraId="2059B716" w14:textId="4B336E4F" w:rsidR="007F1663" w:rsidRDefault="007F1663" w:rsidP="007F1663">
      <w:pPr>
        <w:pStyle w:val="Heading2"/>
      </w:pPr>
      <w:r>
        <w:t>Typical Panel Optimization Cost</w:t>
      </w:r>
    </w:p>
    <w:p w14:paraId="5E7A48B8" w14:textId="42DFF520" w:rsidR="00023F10" w:rsidRDefault="00B66D02" w:rsidP="00563D89">
      <w:r>
        <w:t>The survey asked r</w:t>
      </w:r>
      <w:r w:rsidR="007F1663">
        <w:t>esidential and commercial electricians a) how frequently they use different panel optimization strategies and b) what the typical cost is associated with the different optimization strategies they have used.</w:t>
      </w:r>
      <w:r w:rsidR="00023F10">
        <w:t xml:space="preserve"> </w:t>
      </w:r>
      <w:r>
        <w:t>Specifically, the survey asked</w:t>
      </w:r>
      <w:r w:rsidR="00023F10">
        <w:t xml:space="preserve"> about the following optimization strategies:</w:t>
      </w:r>
    </w:p>
    <w:p w14:paraId="2CC2BCF9" w14:textId="241879CB" w:rsidR="00023F10" w:rsidRDefault="00023F10" w:rsidP="00023F10">
      <w:pPr>
        <w:pStyle w:val="ListBullet"/>
      </w:pPr>
      <w:r>
        <w:t>Smart circuit breakers</w:t>
      </w:r>
    </w:p>
    <w:p w14:paraId="445DBCD4" w14:textId="35804053" w:rsidR="00023F10" w:rsidRDefault="00023F10" w:rsidP="00023F10">
      <w:pPr>
        <w:pStyle w:val="ListBullet"/>
      </w:pPr>
      <w:r>
        <w:t>Smart panel</w:t>
      </w:r>
    </w:p>
    <w:p w14:paraId="3ED0A981" w14:textId="69DC9C7B" w:rsidR="00023F10" w:rsidRDefault="00023F10" w:rsidP="00023F10">
      <w:pPr>
        <w:pStyle w:val="ListBullet"/>
      </w:pPr>
      <w:r>
        <w:t>Circuit pausers</w:t>
      </w:r>
    </w:p>
    <w:p w14:paraId="569B9EA3" w14:textId="350C6D95" w:rsidR="00023F10" w:rsidRDefault="00023F10" w:rsidP="00023F10">
      <w:pPr>
        <w:pStyle w:val="ListBullet"/>
      </w:pPr>
      <w:r>
        <w:t>Load-sharing</w:t>
      </w:r>
    </w:p>
    <w:p w14:paraId="17632EBF" w14:textId="7095AE3C" w:rsidR="00023F10" w:rsidRDefault="00023F10" w:rsidP="00023F10">
      <w:pPr>
        <w:pStyle w:val="ListBullet"/>
      </w:pPr>
      <w:r>
        <w:t>Sub-panel</w:t>
      </w:r>
    </w:p>
    <w:p w14:paraId="69074C48" w14:textId="15729E73" w:rsidR="00023F10" w:rsidRDefault="00023F10" w:rsidP="00023F10">
      <w:pPr>
        <w:pStyle w:val="ListBullet"/>
      </w:pPr>
      <w:r>
        <w:t>Meter collars</w:t>
      </w:r>
    </w:p>
    <w:p w14:paraId="5D8E0C8A" w14:textId="7BF5872D" w:rsidR="00023F10" w:rsidRDefault="00023F10" w:rsidP="002C2638">
      <w:pPr>
        <w:pStyle w:val="ListBullet"/>
      </w:pPr>
      <w:r>
        <w:t>Other</w:t>
      </w:r>
    </w:p>
    <w:p w14:paraId="650CB214" w14:textId="06ABF5A8" w:rsidR="007F1663" w:rsidRDefault="00563D89" w:rsidP="00563D89">
      <w:r>
        <w:t xml:space="preserve">While it is mechanically possible to develop a weighted average price across the different optimization approaches, the team ultimately </w:t>
      </w:r>
      <w:r w:rsidR="00EC0559">
        <w:t>decided</w:t>
      </w:r>
      <w:r>
        <w:t xml:space="preserve"> to apply the average cost associated with a sub</w:t>
      </w:r>
      <w:r w:rsidR="008537BB">
        <w:t>-</w:t>
      </w:r>
      <w:r>
        <w:t>panel in the data tool.</w:t>
      </w:r>
      <w:r w:rsidR="008537BB">
        <w:t xml:space="preserve"> Respondents indicated that</w:t>
      </w:r>
      <w:r>
        <w:t xml:space="preserve"> </w:t>
      </w:r>
      <w:r w:rsidR="008537BB">
        <w:t>s</w:t>
      </w:r>
      <w:r>
        <w:t>ub</w:t>
      </w:r>
      <w:r w:rsidR="008537BB">
        <w:t>-</w:t>
      </w:r>
      <w:r>
        <w:t xml:space="preserve">panels </w:t>
      </w:r>
      <w:r w:rsidR="008537BB">
        <w:t>are</w:t>
      </w:r>
      <w:r>
        <w:t xml:space="preserve"> the optimization approach used most frequently.</w:t>
      </w:r>
      <w:r w:rsidR="00023F10">
        <w:rPr>
          <w:rStyle w:val="FootnoteReference"/>
        </w:rPr>
        <w:footnoteReference w:id="1"/>
      </w:r>
      <w:r>
        <w:t xml:space="preserve"> The report will include additional optimization costs</w:t>
      </w:r>
      <w:r w:rsidR="008537BB">
        <w:t xml:space="preserve"> that stakeholders can use to update the tool later</w:t>
      </w:r>
      <w:r>
        <w:t xml:space="preserve">. </w:t>
      </w:r>
      <w:r w:rsidR="00172059">
        <w:t>T</w:t>
      </w:r>
      <w:r w:rsidR="008537BB">
        <w:t>he team believes</w:t>
      </w:r>
      <w:r>
        <w:t xml:space="preserve"> the sub-panel cost </w:t>
      </w:r>
      <w:r w:rsidR="008537BB">
        <w:t>is</w:t>
      </w:r>
      <w:r>
        <w:t xml:space="preserve"> the most appropriate </w:t>
      </w:r>
      <w:r w:rsidR="00EC0559">
        <w:t xml:space="preserve">and </w:t>
      </w:r>
      <w:r>
        <w:t>representative value for overall panel optimization costs</w:t>
      </w:r>
      <w:r w:rsidR="0017016F">
        <w:t xml:space="preserve"> </w:t>
      </w:r>
      <w:proofErr w:type="gramStart"/>
      <w:r w:rsidR="0017016F">
        <w:t>at this time</w:t>
      </w:r>
      <w:proofErr w:type="gramEnd"/>
      <w:r>
        <w:t xml:space="preserve">. </w:t>
      </w:r>
    </w:p>
    <w:p w14:paraId="22FC8F49" w14:textId="0DFBE961" w:rsidR="00EC0559" w:rsidRDefault="00EC0559" w:rsidP="00563D89">
      <w:r>
        <w:t>The panel optimization pricing in the workbook also accounts for the simple connection costs associated with fuel substitution measures. In other words, the pricing for panel optimization in the workbook includes a) the average price of a sub</w:t>
      </w:r>
      <w:r w:rsidR="0017016F">
        <w:t>-</w:t>
      </w:r>
      <w:r>
        <w:t>panel and b) the cost to connect the fuel substitution measure to the sub</w:t>
      </w:r>
      <w:r w:rsidR="008537BB">
        <w:t>-</w:t>
      </w:r>
      <w:r>
        <w:t xml:space="preserve">panel. </w:t>
      </w:r>
    </w:p>
    <w:p w14:paraId="3DEAC0C1" w14:textId="16435FA2" w:rsidR="00563D89" w:rsidRDefault="00563D89" w:rsidP="00563D89">
      <w:pPr>
        <w:pStyle w:val="Heading2"/>
      </w:pPr>
      <w:r>
        <w:t>Multifamily Adjustment Factor</w:t>
      </w:r>
    </w:p>
    <w:p w14:paraId="0F9E1AD1" w14:textId="5505BB31" w:rsidR="00563D89" w:rsidRDefault="00016263" w:rsidP="00563D89">
      <w:r>
        <w:t>For multifamily infrastructure upgrade costs, we used a simpl</w:t>
      </w:r>
      <w:r w:rsidR="003C0370">
        <w:t xml:space="preserve">ified approach </w:t>
      </w:r>
      <w:r w:rsidR="008C3604">
        <w:t xml:space="preserve">that asked </w:t>
      </w:r>
      <w:r w:rsidR="007A2A2A">
        <w:t xml:space="preserve">electricians to estimate the </w:t>
      </w:r>
      <w:r w:rsidR="0017016F">
        <w:t>relative cost</w:t>
      </w:r>
      <w:r w:rsidR="007A2A2A">
        <w:t xml:space="preserve"> for a </w:t>
      </w:r>
      <w:r w:rsidR="00020DAC">
        <w:t>multifamily</w:t>
      </w:r>
      <w:r w:rsidR="007A2A2A">
        <w:t xml:space="preserve"> installation versus a </w:t>
      </w:r>
      <w:r w:rsidR="00020DAC">
        <w:t>single-family</w:t>
      </w:r>
      <w:r w:rsidR="007A2A2A">
        <w:t xml:space="preserve"> installation. We took this approach to </w:t>
      </w:r>
      <w:r w:rsidR="006F3F25">
        <w:t xml:space="preserve">avoid having </w:t>
      </w:r>
      <w:r w:rsidR="003C0370">
        <w:t>the electricians</w:t>
      </w:r>
      <w:r w:rsidR="008C3604">
        <w:t xml:space="preserve"> run through the extensive pricing scenarios again. </w:t>
      </w:r>
      <w:r w:rsidR="0017016F">
        <w:t xml:space="preserve">The team used the survey responses to develop a multifamily adjustment factor. </w:t>
      </w:r>
      <w:r w:rsidR="00FE6E22">
        <w:t xml:space="preserve">The team applied </w:t>
      </w:r>
      <w:r w:rsidR="002D50B8">
        <w:t xml:space="preserve">this </w:t>
      </w:r>
      <w:r w:rsidR="00FE6E22">
        <w:t xml:space="preserve">adjustment factor to the single-family costs to develop an estimated cost for each </w:t>
      </w:r>
      <w:r w:rsidR="00242CC4">
        <w:t>multifamily building scenario</w:t>
      </w:r>
      <w:r w:rsidR="00FE6E22">
        <w:t xml:space="preserve">. </w:t>
      </w:r>
      <w:r w:rsidR="00242CC4">
        <w:t>The electrician survey asked</w:t>
      </w:r>
      <w:r w:rsidR="00FE6E22">
        <w:t xml:space="preserve"> whether multifamily projects were more expensive, less expensive, or the same compared to the single-family scenarios. </w:t>
      </w:r>
      <w:r w:rsidR="00242CC4">
        <w:t>Respondents who indicated multifamily projects were typically more or less expensive were asked to provide a percentage estimate of the typical cost change</w:t>
      </w:r>
      <w:r w:rsidR="00FE6E22">
        <w:t xml:space="preserve">. </w:t>
      </w:r>
    </w:p>
    <w:p w14:paraId="52A97C92" w14:textId="6965879B" w:rsidR="00FE6E22" w:rsidRDefault="00242CC4" w:rsidP="00563D89">
      <w:r>
        <w:lastRenderedPageBreak/>
        <w:t>The team calculated a 113% adjustment factor for multifamily fuel substitution infrastructure costs based on the survey response</w:t>
      </w:r>
      <w:r w:rsidR="00FE6E22">
        <w:t xml:space="preserve">s. </w:t>
      </w:r>
      <w:r>
        <w:t>In other words</w:t>
      </w:r>
      <w:r w:rsidR="00FE6E22">
        <w:t>, multifamily projects are typically 13% more expensive than a comparably scoped single-family project. Electricians cited a lack of access to attic and crawl spaces and additional logistics dealing with landlords</w:t>
      </w:r>
      <w:r>
        <w:t xml:space="preserve"> or </w:t>
      </w:r>
      <w:r w:rsidR="00FE6E22">
        <w:t xml:space="preserve">property managers as reasons </w:t>
      </w:r>
      <w:r>
        <w:t>multifamily projects are</w:t>
      </w:r>
      <w:r w:rsidR="00FE6E22">
        <w:t xml:space="preserve"> slightly more expensive than single-family projects. </w:t>
      </w:r>
      <w:r w:rsidR="00020DAC">
        <w:t xml:space="preserve">Please note that the respondents were split on this question – 40% said multifamily projects would be less </w:t>
      </w:r>
      <w:r>
        <w:t>costly</w:t>
      </w:r>
      <w:r w:rsidR="00020DAC">
        <w:t xml:space="preserve"> by 16%, 34% said they would be more expensive by 56%, and 26% said the price would be about the same. The 113% adjustment factor represents a weighted average of these results. </w:t>
      </w:r>
    </w:p>
    <w:p w14:paraId="37A67598" w14:textId="5509D173" w:rsidR="00630688" w:rsidRDefault="00630688" w:rsidP="00630688">
      <w:pPr>
        <w:pStyle w:val="Heading2"/>
      </w:pPr>
      <w:r>
        <w:t>Electrician Cost Estimates</w:t>
      </w:r>
    </w:p>
    <w:p w14:paraId="626E13D3" w14:textId="5E5A28F6" w:rsidR="00630688" w:rsidRDefault="00630688" w:rsidP="00630688">
      <w:r>
        <w:t>The team applied the cost estimates from both the residential and commercial electrician surveys.</w:t>
      </w:r>
      <w:r w:rsidR="00242CC4">
        <w:t xml:space="preserve"> The next section of this document</w:t>
      </w:r>
      <w:r w:rsidR="00BB2B0E">
        <w:t xml:space="preserve"> (i.e., Electrician Cost Mapping)</w:t>
      </w:r>
      <w:r w:rsidR="00242CC4">
        <w:t xml:space="preserve"> details t</w:t>
      </w:r>
      <w:r>
        <w:t xml:space="preserve">he specific scenario </w:t>
      </w:r>
      <w:r w:rsidR="00AF4DE0">
        <w:t>and cost mapping</w:t>
      </w:r>
      <w:r>
        <w:t xml:space="preserve">. </w:t>
      </w:r>
      <w:r w:rsidR="00242CC4">
        <w:t>Before</w:t>
      </w:r>
      <w:r>
        <w:t xml:space="preserve"> finalizing cost estimates for the data tool, the team removed outliers from each electrician scenario analysis using the interquartile range (IQR).</w:t>
      </w:r>
      <w:r w:rsidR="00172121">
        <w:rPr>
          <w:rStyle w:val="FootnoteReference"/>
        </w:rPr>
        <w:footnoteReference w:id="2"/>
      </w:r>
      <w:r>
        <w:t xml:space="preserve"> First, the team calculated the quartiles associated with the response distributions for each fuel substitution scenario. Next, the team calculated the IQR, which is the difference between the first and third quartiles. The team then set upper and lower thresholds for inclusion in the analysis by applying 1.5 times the IQR to the first and third quartiles. Specifically, the lower threshold is the first quartile minus 1.5 times the IQR, while the upper threshold is the third quartile plus 1.5 times the IQR. </w:t>
      </w:r>
      <w:r w:rsidR="00AF4DE0">
        <w:t>The team removed a</w:t>
      </w:r>
      <w:r>
        <w:t xml:space="preserve">ny electrician responses falling outside the lower or upper thresholds for that fuel substitution scenario. </w:t>
      </w:r>
      <w:proofErr w:type="gramStart"/>
      <w:r>
        <w:t>All of</w:t>
      </w:r>
      <w:proofErr w:type="gramEnd"/>
      <w:r>
        <w:t xml:space="preserve"> the outliers </w:t>
      </w:r>
      <w:r w:rsidR="00242CC4">
        <w:t>removed from the analysis fell outside</w:t>
      </w:r>
      <w:r>
        <w:t xml:space="preserve"> the upper threshold. </w:t>
      </w:r>
    </w:p>
    <w:p w14:paraId="74698182" w14:textId="5D6E1CD0" w:rsidR="003848B3" w:rsidRDefault="003848B3" w:rsidP="003848B3">
      <w:pPr>
        <w:pStyle w:val="Heading2"/>
      </w:pPr>
      <w:r>
        <w:t>Accounting for Multiple Applicable Measures</w:t>
      </w:r>
    </w:p>
    <w:p w14:paraId="01341D10" w14:textId="0DFAA808" w:rsidR="003848B3" w:rsidRDefault="003848B3" w:rsidP="003848B3">
      <w:r>
        <w:t xml:space="preserve">The residential and commercial electrician surveys focused on scenarios where </w:t>
      </w:r>
      <w:r w:rsidR="008A05EF">
        <w:t xml:space="preserve">customers converted </w:t>
      </w:r>
      <w:r>
        <w:t xml:space="preserve">one or two pieces of equipment from natural gas to electricity. </w:t>
      </w:r>
      <w:r w:rsidR="008A05EF">
        <w:t xml:space="preserve">The survey asked electricians to provide </w:t>
      </w:r>
      <w:r w:rsidR="00030B8D">
        <w:t>pricing for a single piece of heating or water heating equipment in the ‘Heating Only’ and ‘Water Heating Only’ scenarios</w:t>
      </w:r>
      <w:r>
        <w:t>. A few scenarios, for example</w:t>
      </w:r>
      <w:r w:rsidR="008A05EF">
        <w:t>,</w:t>
      </w:r>
      <w:r>
        <w:t xml:space="preserve"> the </w:t>
      </w:r>
      <w:r w:rsidR="00030B8D">
        <w:t>‘Heating and Water Heating’ scenario</w:t>
      </w:r>
      <w:r>
        <w:t xml:space="preserve">, asked electricians to </w:t>
      </w:r>
      <w:r w:rsidR="008A05EF">
        <w:t>estimate</w:t>
      </w:r>
      <w:r>
        <w:t xml:space="preserve"> the costs of connecting both heating </w:t>
      </w:r>
      <w:r w:rsidR="008A05EF">
        <w:t>and water heating systems</w:t>
      </w:r>
      <w:r>
        <w:t xml:space="preserve">. The electrician survey scenarios did not </w:t>
      </w:r>
      <w:r w:rsidR="008A05EF">
        <w:t>consider</w:t>
      </w:r>
      <w:r>
        <w:t xml:space="preserve"> that a home or business may have multiple measures eligible for fuel substitution, even within the same end use (e.g., multiple natural gas furnaces in the same ho</w:t>
      </w:r>
      <w:r w:rsidR="008A05EF">
        <w:t>us</w:t>
      </w:r>
      <w:r>
        <w:t xml:space="preserve">e or business). As a result, the electrician scenario cost estimates do not account for the full suite of eligible fuel </w:t>
      </w:r>
      <w:r w:rsidR="008B541D">
        <w:t>substitution</w:t>
      </w:r>
      <w:r>
        <w:t xml:space="preserve"> measures. </w:t>
      </w:r>
    </w:p>
    <w:p w14:paraId="1161BB45" w14:textId="77BB361D" w:rsidR="003848B3" w:rsidRDefault="008937E9" w:rsidP="003848B3">
      <w:r>
        <w:t>T</w:t>
      </w:r>
      <w:r w:rsidR="003848B3">
        <w:t xml:space="preserve">o account for this, the team asked electricians how costs would change if an additional heat pump technology </w:t>
      </w:r>
      <w:r w:rsidR="006408B9">
        <w:t>w</w:t>
      </w:r>
      <w:r w:rsidR="008A05EF">
        <w:t>ere</w:t>
      </w:r>
      <w:r w:rsidR="003848B3">
        <w:t xml:space="preserve"> connected during the same visit. In other words, if they were already onsite and had the relevant tools and materials, how much more would it cost to install two heat pumps instead of one in the same job</w:t>
      </w:r>
      <w:r w:rsidR="008A05EF">
        <w:t>?</w:t>
      </w:r>
      <w:r w:rsidR="003848B3">
        <w:t xml:space="preserve"> </w:t>
      </w:r>
      <w:r w:rsidR="008A05EF">
        <w:t>T</w:t>
      </w:r>
      <w:r w:rsidR="003848B3">
        <w:t>he residential and commercial electrician surveys</w:t>
      </w:r>
      <w:r w:rsidR="008A05EF">
        <w:t xml:space="preserve"> included these questions,</w:t>
      </w:r>
      <w:r w:rsidR="003848B3">
        <w:t xml:space="preserve"> and </w:t>
      </w:r>
      <w:r w:rsidR="008A05EF">
        <w:t>the team used the</w:t>
      </w:r>
      <w:r w:rsidR="003848B3">
        <w:t xml:space="preserve"> responses to adjust the scenario pricing provided by electricians. Specifically, the team identified the average number of eligible fuel substitution measures in each scenario (and strata)</w:t>
      </w:r>
      <w:r w:rsidR="00C54EC0">
        <w:t xml:space="preserve"> based on the residential occupant and commercial customer surveys</w:t>
      </w:r>
      <w:r w:rsidR="003848B3">
        <w:t xml:space="preserve">. </w:t>
      </w:r>
      <w:r w:rsidR="0090019A">
        <w:t>The team</w:t>
      </w:r>
      <w:r w:rsidR="00A44BAB">
        <w:t xml:space="preserve"> then</w:t>
      </w:r>
      <w:r w:rsidR="0090019A">
        <w:t xml:space="preserve"> multiplied the electrician costs </w:t>
      </w:r>
      <w:r w:rsidR="00A44BAB">
        <w:t xml:space="preserve">associated with </w:t>
      </w:r>
      <w:r w:rsidR="0090019A">
        <w:t>connect</w:t>
      </w:r>
      <w:r w:rsidR="00A44BAB">
        <w:t>ing</w:t>
      </w:r>
      <w:r w:rsidR="0090019A">
        <w:t xml:space="preserve"> an additional heat pump by the number of eligible fuel substitution measures to account for these </w:t>
      </w:r>
      <w:r w:rsidR="008A05EF">
        <w:t>extra</w:t>
      </w:r>
      <w:r w:rsidR="0090019A">
        <w:t xml:space="preserve"> pieces of equipment. </w:t>
      </w:r>
      <w:r w:rsidR="008A05EF">
        <w:t>The team added this value</w:t>
      </w:r>
      <w:r w:rsidR="0090019A">
        <w:t xml:space="preserve"> to the electrician scenario price estimates to develop an estimated price for fuel substitution infrastructure upgrades for all eligible</w:t>
      </w:r>
      <w:r w:rsidR="00D85179">
        <w:t xml:space="preserve"> m</w:t>
      </w:r>
      <w:r w:rsidR="0090019A">
        <w:t xml:space="preserve">easures. </w:t>
      </w:r>
      <w:r w:rsidR="00F45938">
        <w:t xml:space="preserve">An example calculation is shown below for the </w:t>
      </w:r>
      <w:r w:rsidR="00172059">
        <w:t>'</w:t>
      </w:r>
      <w:r w:rsidR="00F45938">
        <w:t>Heating Only</w:t>
      </w:r>
      <w:r w:rsidR="00172059">
        <w:t>'</w:t>
      </w:r>
      <w:r w:rsidR="00F45938">
        <w:t xml:space="preserve"> scenario in the Marine climate region for single-family homes. </w:t>
      </w:r>
    </w:p>
    <w:p w14:paraId="0CE7AD18" w14:textId="31293FAE" w:rsidR="00F45938" w:rsidRPr="00F45938" w:rsidRDefault="00F45938" w:rsidP="003848B3">
      <m:oMathPara>
        <m:oMath>
          <m:r>
            <w:rPr>
              <w:rFonts w:ascii="Cambria Math" w:hAnsi="Cambria Math"/>
            </w:rPr>
            <w:lastRenderedPageBreak/>
            <m:t>Weighted Average Infrastructure Cost for a Single Heat Pump=$3,221</m:t>
          </m:r>
          <m:r>
            <w:rPr>
              <w:rStyle w:val="FootnoteReference"/>
              <w:rFonts w:ascii="Cambria Math" w:hAnsi="Cambria Math"/>
              <w:i/>
            </w:rPr>
            <w:footnoteReference w:id="3"/>
          </m:r>
          <m:r>
            <m:rPr>
              <m:sty m:val="p"/>
            </m:rPr>
            <w:rPr>
              <w:rFonts w:ascii="Cambria Math" w:hAnsi="Cambria Math"/>
            </w:rPr>
            <w:br/>
          </m:r>
        </m:oMath>
        <m:oMath>
          <m:r>
            <w:rPr>
              <w:rFonts w:ascii="Cambria Math" w:hAnsi="Cambria Math"/>
            </w:rPr>
            <m:t>Average number of systems per home=1.1</m:t>
          </m:r>
          <m:r>
            <m:rPr>
              <m:sty m:val="p"/>
            </m:rPr>
            <w:rPr>
              <w:rFonts w:ascii="Cambria Math" w:hAnsi="Cambria Math"/>
            </w:rPr>
            <w:br/>
          </m:r>
        </m:oMath>
        <m:oMath>
          <m:r>
            <w:rPr>
              <w:rFonts w:ascii="Cambria Math" w:hAnsi="Cambria Math"/>
            </w:rPr>
            <m:t>Average cost to connect one additional heat pump =$1,185</m:t>
          </m:r>
          <m:r>
            <m:rPr>
              <m:sty m:val="p"/>
            </m:rPr>
            <w:rPr>
              <w:rFonts w:ascii="Cambria Math" w:hAnsi="Cambria Math"/>
            </w:rPr>
            <w:br/>
          </m:r>
        </m:oMath>
        <m:oMath>
          <m:r>
            <w:rPr>
              <w:rFonts w:ascii="Cambria Math" w:hAnsi="Cambria Math"/>
            </w:rPr>
            <m:t>Weighted Average Cost for All Applicable FS Measures=$3,221+</m:t>
          </m:r>
          <m:d>
            <m:dPr>
              <m:begChr m:val="["/>
              <m:endChr m:val="]"/>
              <m:ctrlPr>
                <w:rPr>
                  <w:rFonts w:ascii="Cambria Math" w:hAnsi="Cambria Math"/>
                  <w:i/>
                </w:rPr>
              </m:ctrlPr>
            </m:dPr>
            <m:e>
              <m:d>
                <m:dPr>
                  <m:ctrlPr>
                    <w:rPr>
                      <w:rFonts w:ascii="Cambria Math" w:hAnsi="Cambria Math"/>
                      <w:i/>
                    </w:rPr>
                  </m:ctrlPr>
                </m:dPr>
                <m:e>
                  <m:r>
                    <w:rPr>
                      <w:rFonts w:ascii="Cambria Math" w:hAnsi="Cambria Math"/>
                    </w:rPr>
                    <m:t>1.1-1</m:t>
                  </m:r>
                </m:e>
              </m:d>
              <m:r>
                <w:rPr>
                  <w:rFonts w:ascii="Cambria Math" w:hAnsi="Cambria Math"/>
                </w:rPr>
                <m:t>×$1,185</m:t>
              </m:r>
            </m:e>
          </m:d>
          <m:r>
            <w:rPr>
              <w:rFonts w:ascii="Cambria Math" w:hAnsi="Cambria Math"/>
            </w:rPr>
            <m:t xml:space="preserve"> or $3,340</m:t>
          </m:r>
        </m:oMath>
      </m:oMathPara>
    </w:p>
    <w:p w14:paraId="6CB67DE6" w14:textId="77777777" w:rsidR="00630688" w:rsidRDefault="00630688" w:rsidP="00563D89"/>
    <w:p w14:paraId="70BDF377" w14:textId="4B941F6E" w:rsidR="00FE6E22" w:rsidRDefault="00FE6E22" w:rsidP="00FE6E22">
      <w:pPr>
        <w:pStyle w:val="Heading1"/>
      </w:pPr>
      <w:r>
        <w:t>Electrician Cost Mapping</w:t>
      </w:r>
    </w:p>
    <w:p w14:paraId="23A37682" w14:textId="0DCED0A2" w:rsidR="00FE6E22" w:rsidRDefault="00FE6E22" w:rsidP="00FE6E22">
      <w:r>
        <w:t>Below</w:t>
      </w:r>
      <w:r w:rsidR="008A05EF">
        <w:t>,</w:t>
      </w:r>
      <w:r>
        <w:t xml:space="preserve"> we summarize the </w:t>
      </w:r>
      <w:r w:rsidR="00836F9F">
        <w:t xml:space="preserve">price mapping that </w:t>
      </w:r>
      <w:r w:rsidR="008A05EF">
        <w:t>the team</w:t>
      </w:r>
      <w:r w:rsidR="00836F9F">
        <w:t xml:space="preserve"> used in the data tool.</w:t>
      </w:r>
      <w:r w:rsidR="008D1A4A">
        <w:t xml:space="preserve"> </w:t>
      </w:r>
      <w:r w:rsidR="008D1A4A">
        <w:fldChar w:fldCharType="begin"/>
      </w:r>
      <w:r w:rsidR="008D1A4A">
        <w:instrText xml:space="preserve"> REF _Ref155864603 \h </w:instrText>
      </w:r>
      <w:r w:rsidR="008D1A4A">
        <w:fldChar w:fldCharType="separate"/>
      </w:r>
      <w:r w:rsidR="004C1D58">
        <w:t xml:space="preserve">Table </w:t>
      </w:r>
      <w:r w:rsidR="004C1D58">
        <w:rPr>
          <w:noProof/>
        </w:rPr>
        <w:t>1</w:t>
      </w:r>
      <w:r w:rsidR="008D1A4A">
        <w:fldChar w:fldCharType="end"/>
      </w:r>
      <w:r w:rsidR="008D1A4A">
        <w:t xml:space="preserve"> presents the residential fuel substitution scenario and cost mapping. Note </w:t>
      </w:r>
      <w:r w:rsidR="008A05EF">
        <w:t>that all multifamily pricing includes the adjustment factor</w:t>
      </w:r>
      <w:r w:rsidR="008D1A4A">
        <w:t xml:space="preserve"> described in the previous section. </w:t>
      </w:r>
    </w:p>
    <w:p w14:paraId="42863A1C" w14:textId="0695E8C5" w:rsidR="00836F9F" w:rsidRDefault="00836F9F" w:rsidP="00EE17F4">
      <w:pPr>
        <w:pStyle w:val="Caption"/>
        <w:spacing w:before="240"/>
      </w:pPr>
      <w:bookmarkStart w:id="0" w:name="_Ref155864603"/>
      <w:r>
        <w:t xml:space="preserve">Table </w:t>
      </w:r>
      <w:r>
        <w:fldChar w:fldCharType="begin"/>
      </w:r>
      <w:r>
        <w:instrText xml:space="preserve"> SEQ Table \* ARABIC </w:instrText>
      </w:r>
      <w:r>
        <w:fldChar w:fldCharType="separate"/>
      </w:r>
      <w:r w:rsidR="004C1D58">
        <w:rPr>
          <w:noProof/>
        </w:rPr>
        <w:t>1</w:t>
      </w:r>
      <w:r>
        <w:rPr>
          <w:noProof/>
        </w:rPr>
        <w:fldChar w:fldCharType="end"/>
      </w:r>
      <w:bookmarkEnd w:id="0"/>
      <w:r>
        <w:t>. Residential Fuel Substitution Scenario and Cost Mapping</w:t>
      </w:r>
    </w:p>
    <w:tbl>
      <w:tblPr>
        <w:tblStyle w:val="ODCBasic-1"/>
        <w:tblW w:w="0" w:type="auto"/>
        <w:tblLayout w:type="fixed"/>
        <w:tblCellMar>
          <w:top w:w="0" w:type="dxa"/>
          <w:bottom w:w="14" w:type="dxa"/>
        </w:tblCellMar>
        <w:tblLook w:val="04A0" w:firstRow="1" w:lastRow="0" w:firstColumn="1" w:lastColumn="0" w:noHBand="0" w:noVBand="1"/>
      </w:tblPr>
      <w:tblGrid>
        <w:gridCol w:w="3695"/>
        <w:gridCol w:w="6570"/>
      </w:tblGrid>
      <w:tr w:rsidR="00836F9F" w14:paraId="547F7584" w14:textId="77777777" w:rsidTr="00836F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95" w:type="dxa"/>
            <w:tcBorders>
              <w:bottom w:val="single" w:sz="4" w:space="0" w:color="auto"/>
              <w:right w:val="single" w:sz="4" w:space="0" w:color="4A4D56" w:themeColor="text1"/>
            </w:tcBorders>
          </w:tcPr>
          <w:p w14:paraId="32702535" w14:textId="6BAD9C3F" w:rsidR="00836F9F" w:rsidRPr="00625570" w:rsidRDefault="00836F9F" w:rsidP="00AF428E">
            <w:pPr>
              <w:pStyle w:val="TableHeadingLeft"/>
            </w:pPr>
            <w:r>
              <w:t>F</w:t>
            </w:r>
            <w:r w:rsidR="009E48F3">
              <w:t xml:space="preserve">uel </w:t>
            </w:r>
            <w:r>
              <w:t>S</w:t>
            </w:r>
            <w:r w:rsidR="009E48F3">
              <w:t>ubstitution</w:t>
            </w:r>
            <w:r w:rsidR="0091604C">
              <w:t xml:space="preserve"> Measure</w:t>
            </w:r>
            <w:r>
              <w:t xml:space="preserve"> Scenario and Cost Components</w:t>
            </w:r>
          </w:p>
        </w:tc>
        <w:tc>
          <w:tcPr>
            <w:tcW w:w="6570" w:type="dxa"/>
            <w:tcBorders>
              <w:left w:val="single" w:sz="4" w:space="0" w:color="4A4D56" w:themeColor="text1"/>
              <w:bottom w:val="single" w:sz="4" w:space="0" w:color="auto"/>
            </w:tcBorders>
          </w:tcPr>
          <w:p w14:paraId="349508CD" w14:textId="77777777" w:rsidR="00836F9F" w:rsidRPr="00625570" w:rsidRDefault="00836F9F" w:rsidP="00AF428E">
            <w:pPr>
              <w:pStyle w:val="TableHeadingCentered"/>
              <w:cnfStyle w:val="100000000000" w:firstRow="1" w:lastRow="0" w:firstColumn="0" w:lastColumn="0" w:oddVBand="0" w:evenVBand="0" w:oddHBand="0" w:evenHBand="0" w:firstRowFirstColumn="0" w:firstRowLastColumn="0" w:lastRowFirstColumn="0" w:lastRowLastColumn="0"/>
            </w:pPr>
            <w:r w:rsidRPr="00625570">
              <w:t>Column</w:t>
            </w:r>
          </w:p>
        </w:tc>
      </w:tr>
      <w:tr w:rsidR="00836F9F" w14:paraId="4532BCAE" w14:textId="77777777" w:rsidTr="00836F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4A4D56" w:themeColor="text1"/>
              <w:left w:val="single" w:sz="4" w:space="0" w:color="4A4D56" w:themeColor="text1"/>
              <w:bottom w:val="single" w:sz="4" w:space="0" w:color="4A4D56" w:themeColor="text1"/>
              <w:right w:val="nil"/>
            </w:tcBorders>
            <w:shd w:val="clear" w:color="auto" w:fill="78CBED" w:themeFill="accent3" w:themeFillTint="99"/>
          </w:tcPr>
          <w:p w14:paraId="403456EE" w14:textId="29A312DF" w:rsidR="00836F9F" w:rsidRPr="00F07CA1" w:rsidRDefault="0091604C" w:rsidP="00F07CA1">
            <w:pPr>
              <w:pStyle w:val="TableLeftText"/>
              <w:rPr>
                <w:rFonts w:asciiTheme="majorHAnsi" w:hAnsiTheme="majorHAnsi"/>
                <w:color w:val="FFFFFF" w:themeColor="background1"/>
              </w:rPr>
            </w:pPr>
            <w:r>
              <w:rPr>
                <w:rFonts w:asciiTheme="majorHAnsi" w:hAnsiTheme="majorHAnsi"/>
              </w:rPr>
              <w:t xml:space="preserve">Space </w:t>
            </w:r>
            <w:r w:rsidR="00836F9F">
              <w:rPr>
                <w:rFonts w:asciiTheme="majorHAnsi" w:hAnsiTheme="majorHAnsi"/>
              </w:rPr>
              <w:t>Heating Only</w:t>
            </w:r>
          </w:p>
        </w:tc>
        <w:tc>
          <w:tcPr>
            <w:tcW w:w="6570" w:type="dxa"/>
            <w:tcBorders>
              <w:top w:val="single" w:sz="4" w:space="0" w:color="4A4D56" w:themeColor="text1"/>
              <w:left w:val="nil"/>
              <w:bottom w:val="single" w:sz="4" w:space="0" w:color="4A4D56" w:themeColor="text1"/>
              <w:right w:val="single" w:sz="4" w:space="0" w:color="4A4D56" w:themeColor="text1"/>
            </w:tcBorders>
            <w:shd w:val="clear" w:color="auto" w:fill="78CBED" w:themeFill="accent3" w:themeFillTint="99"/>
          </w:tcPr>
          <w:p w14:paraId="0844746A" w14:textId="77777777" w:rsidR="00836F9F" w:rsidRPr="0053336D" w:rsidRDefault="00836F9F" w:rsidP="00452078">
            <w:pPr>
              <w:pStyle w:val="TableLeft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rPr>
            </w:pPr>
          </w:p>
        </w:tc>
      </w:tr>
      <w:tr w:rsidR="00836F9F" w14:paraId="16B28450" w14:textId="77777777" w:rsidTr="00836F9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4A4D56" w:themeColor="text1"/>
              <w:left w:val="single" w:sz="4" w:space="0" w:color="auto"/>
              <w:bottom w:val="single" w:sz="4" w:space="0" w:color="auto"/>
              <w:right w:val="single" w:sz="4" w:space="0" w:color="auto"/>
            </w:tcBorders>
          </w:tcPr>
          <w:p w14:paraId="467D4590" w14:textId="5162175D" w:rsidR="00836F9F" w:rsidRDefault="00836F9F" w:rsidP="00F07CA1">
            <w:pPr>
              <w:pStyle w:val="TableLeftText"/>
            </w:pPr>
            <w:r>
              <w:t>Simple Connection Infrastructure Costs</w:t>
            </w:r>
          </w:p>
        </w:tc>
        <w:tc>
          <w:tcPr>
            <w:tcW w:w="6570" w:type="dxa"/>
            <w:tcBorders>
              <w:top w:val="single" w:sz="4" w:space="0" w:color="4A4D56" w:themeColor="text1"/>
              <w:left w:val="single" w:sz="4" w:space="0" w:color="auto"/>
              <w:bottom w:val="single" w:sz="4" w:space="0" w:color="auto"/>
              <w:right w:val="single" w:sz="4" w:space="0" w:color="auto"/>
            </w:tcBorders>
          </w:tcPr>
          <w:p w14:paraId="63BAF76A" w14:textId="5CE1FA4E" w:rsidR="00836F9F" w:rsidRPr="00625570" w:rsidRDefault="006F756B" w:rsidP="006F756B">
            <w:pPr>
              <w:pStyle w:val="TableCenterText"/>
              <w:jc w:val="left"/>
              <w:cnfStyle w:val="000000010000" w:firstRow="0" w:lastRow="0" w:firstColumn="0" w:lastColumn="0" w:oddVBand="0" w:evenVBand="0" w:oddHBand="0" w:evenHBand="1" w:firstRowFirstColumn="0" w:firstRowLastColumn="0" w:lastRowFirstColumn="0" w:lastRowLastColumn="0"/>
            </w:pPr>
            <w:r>
              <w:t>Applied the mean cost from the</w:t>
            </w:r>
            <w:r w:rsidR="00172059">
              <w:t xml:space="preserve">' </w:t>
            </w:r>
            <w:r w:rsidR="008D1A4A">
              <w:t>Gas Fired Furnace w/</w:t>
            </w:r>
            <w:r w:rsidR="008530C3">
              <w:t>Central Air Conditioning (</w:t>
            </w:r>
            <w:r w:rsidR="008D1A4A">
              <w:t>CAC</w:t>
            </w:r>
            <w:r w:rsidR="008530C3">
              <w:t>)</w:t>
            </w:r>
            <w:r w:rsidR="008D1A4A">
              <w:t xml:space="preserve"> to </w:t>
            </w:r>
            <w:r w:rsidR="008530C3">
              <w:t>Air Source Heat Pump (</w:t>
            </w:r>
            <w:r w:rsidR="008D1A4A">
              <w:t>ASHP</w:t>
            </w:r>
            <w:r w:rsidR="008530C3">
              <w:t>)</w:t>
            </w:r>
            <w:r w:rsidR="00172059">
              <w:t>'</w:t>
            </w:r>
            <w:r>
              <w:t xml:space="preserve"> scenario</w:t>
            </w:r>
            <w:r w:rsidR="008A05EF">
              <w:t>, including</w:t>
            </w:r>
            <w:r>
              <w:t xml:space="preserve"> connecting the heat pump to the panel.</w:t>
            </w:r>
          </w:p>
        </w:tc>
      </w:tr>
      <w:tr w:rsidR="006F756B" w14:paraId="70804A67" w14:textId="77777777" w:rsidTr="00836F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598AACA1" w14:textId="058CC4EF" w:rsidR="006F756B" w:rsidRDefault="006F756B" w:rsidP="006F756B">
            <w:pPr>
              <w:pStyle w:val="TableLeftText"/>
            </w:pPr>
            <w:r>
              <w:t>Panel Upgrade Infrastructure Costs</w:t>
            </w:r>
          </w:p>
        </w:tc>
        <w:tc>
          <w:tcPr>
            <w:tcW w:w="6570" w:type="dxa"/>
            <w:tcBorders>
              <w:top w:val="single" w:sz="4" w:space="0" w:color="auto"/>
              <w:left w:val="single" w:sz="4" w:space="0" w:color="auto"/>
              <w:bottom w:val="single" w:sz="4" w:space="0" w:color="auto"/>
              <w:right w:val="single" w:sz="4" w:space="0" w:color="auto"/>
            </w:tcBorders>
          </w:tcPr>
          <w:p w14:paraId="7E7BDAA8" w14:textId="2DA4A6E6" w:rsidR="006F756B" w:rsidRPr="00625570" w:rsidRDefault="006F756B" w:rsidP="006F756B">
            <w:pPr>
              <w:pStyle w:val="TableCenterText"/>
              <w:jc w:val="left"/>
              <w:cnfStyle w:val="000000100000" w:firstRow="0" w:lastRow="0" w:firstColumn="0" w:lastColumn="0" w:oddVBand="0" w:evenVBand="0" w:oddHBand="1" w:evenHBand="0" w:firstRowFirstColumn="0" w:firstRowLastColumn="0" w:lastRowFirstColumn="0" w:lastRowLastColumn="0"/>
            </w:pPr>
            <w:r>
              <w:t xml:space="preserve">Applied the mean cost from the </w:t>
            </w:r>
            <w:r w:rsidR="00172059">
              <w:t>"</w:t>
            </w:r>
            <w:r w:rsidR="008D1A4A">
              <w:t>Gas Fired Furnace w/no CAC to ASHP</w:t>
            </w:r>
            <w:r w:rsidR="00172059">
              <w:t>'</w:t>
            </w:r>
            <w:r>
              <w:t xml:space="preserve"> scenario that included installing a 200-amp panel, a </w:t>
            </w:r>
            <w:proofErr w:type="gramStart"/>
            <w:r>
              <w:t>240</w:t>
            </w:r>
            <w:r w:rsidR="007E3003">
              <w:t xml:space="preserve"> volt</w:t>
            </w:r>
            <w:proofErr w:type="gramEnd"/>
            <w:r w:rsidR="007E3003">
              <w:t xml:space="preserve"> (</w:t>
            </w:r>
            <w:r>
              <w:t>v</w:t>
            </w:r>
            <w:r w:rsidR="007E3003">
              <w:t>)</w:t>
            </w:r>
            <w:r>
              <w:t xml:space="preserve"> circuit, a</w:t>
            </w:r>
            <w:r w:rsidR="008A05EF">
              <w:t xml:space="preserve"> disconnect, and</w:t>
            </w:r>
            <w:r>
              <w:t xml:space="preserve"> connecting the heat pump to the panel. </w:t>
            </w:r>
          </w:p>
        </w:tc>
      </w:tr>
      <w:tr w:rsidR="006F756B" w14:paraId="1A9725A9" w14:textId="77777777" w:rsidTr="00836F9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4A4D56" w:themeColor="text1"/>
              <w:right w:val="single" w:sz="4" w:space="0" w:color="auto"/>
            </w:tcBorders>
          </w:tcPr>
          <w:p w14:paraId="04B33680" w14:textId="69764529" w:rsidR="006F756B" w:rsidRPr="00625570" w:rsidRDefault="006F756B" w:rsidP="006F756B">
            <w:pPr>
              <w:pStyle w:val="TableLeftText"/>
            </w:pPr>
            <w:r>
              <w:t>Panel Optimization Infrastructure Costs</w:t>
            </w:r>
          </w:p>
        </w:tc>
        <w:tc>
          <w:tcPr>
            <w:tcW w:w="6570" w:type="dxa"/>
            <w:tcBorders>
              <w:top w:val="single" w:sz="4" w:space="0" w:color="auto"/>
              <w:left w:val="single" w:sz="4" w:space="0" w:color="auto"/>
              <w:bottom w:val="single" w:sz="4" w:space="0" w:color="4A4D56" w:themeColor="text1"/>
              <w:right w:val="single" w:sz="4" w:space="0" w:color="auto"/>
            </w:tcBorders>
          </w:tcPr>
          <w:p w14:paraId="666A644F" w14:textId="1901DF85" w:rsidR="006F756B" w:rsidRPr="00625570" w:rsidRDefault="006F756B" w:rsidP="006F756B">
            <w:pPr>
              <w:pStyle w:val="TableCenterText"/>
              <w:jc w:val="left"/>
              <w:cnfStyle w:val="000000010000" w:firstRow="0" w:lastRow="0" w:firstColumn="0" w:lastColumn="0" w:oddVBand="0" w:evenVBand="0" w:oddHBand="0" w:evenHBand="1" w:firstRowFirstColumn="0" w:firstRowLastColumn="0" w:lastRowFirstColumn="0" w:lastRowLastColumn="0"/>
            </w:pPr>
            <w:r>
              <w:t xml:space="preserve">Added the </w:t>
            </w:r>
            <w:r w:rsidR="00172059">
              <w:t>'</w:t>
            </w:r>
            <w:r>
              <w:t>Simple Connection Infrastructure Costs</w:t>
            </w:r>
            <w:r w:rsidR="00172059">
              <w:t>'</w:t>
            </w:r>
            <w:r>
              <w:t xml:space="preserve"> to the average price of a sub-panel installation. Sub-panels were the predominant approach for panel optimization</w:t>
            </w:r>
            <w:r w:rsidR="008A05EF">
              <w:t>,</w:t>
            </w:r>
            <w:r>
              <w:t xml:space="preserve"> according to electricians. </w:t>
            </w:r>
          </w:p>
        </w:tc>
      </w:tr>
      <w:tr w:rsidR="006F756B" w14:paraId="5CDFF045" w14:textId="77777777" w:rsidTr="00836F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4A4D56" w:themeColor="text1"/>
              <w:right w:val="single" w:sz="4" w:space="0" w:color="auto"/>
            </w:tcBorders>
          </w:tcPr>
          <w:p w14:paraId="41D211CC" w14:textId="4F9ED544" w:rsidR="006F756B" w:rsidRDefault="006F756B" w:rsidP="006F756B">
            <w:pPr>
              <w:pStyle w:val="TableLeftText"/>
            </w:pPr>
            <w:r>
              <w:t>Average Cost Across Scenarios</w:t>
            </w:r>
          </w:p>
        </w:tc>
        <w:tc>
          <w:tcPr>
            <w:tcW w:w="6570" w:type="dxa"/>
            <w:tcBorders>
              <w:top w:val="single" w:sz="4" w:space="0" w:color="auto"/>
              <w:left w:val="single" w:sz="4" w:space="0" w:color="auto"/>
              <w:bottom w:val="single" w:sz="4" w:space="0" w:color="4A4D56" w:themeColor="text1"/>
              <w:right w:val="single" w:sz="4" w:space="0" w:color="auto"/>
            </w:tcBorders>
          </w:tcPr>
          <w:p w14:paraId="3301888A" w14:textId="2FF2369F" w:rsidR="006F756B" w:rsidRPr="00625570" w:rsidRDefault="008A05EF" w:rsidP="006F756B">
            <w:pPr>
              <w:pStyle w:val="TableCenterText"/>
              <w:jc w:val="left"/>
              <w:cnfStyle w:val="000000100000" w:firstRow="0" w:lastRow="0" w:firstColumn="0" w:lastColumn="0" w:oddVBand="0" w:evenVBand="0" w:oddHBand="1" w:evenHBand="0" w:firstRowFirstColumn="0" w:firstRowLastColumn="0" w:lastRowFirstColumn="0" w:lastRowLastColumn="0"/>
            </w:pPr>
            <w:r>
              <w:t>The results of the scenarios listed above were weighted</w:t>
            </w:r>
            <w:r w:rsidR="006F756B">
              <w:t xml:space="preserve"> based on their frequency from the scenario analysis.</w:t>
            </w:r>
          </w:p>
        </w:tc>
      </w:tr>
      <w:tr w:rsidR="006F756B" w14:paraId="1D73B447" w14:textId="77777777" w:rsidTr="00836F9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4A4D56" w:themeColor="text1"/>
              <w:right w:val="single" w:sz="4" w:space="0" w:color="auto"/>
            </w:tcBorders>
          </w:tcPr>
          <w:p w14:paraId="1611749D" w14:textId="251E515F" w:rsidR="006F756B" w:rsidRDefault="006F756B" w:rsidP="006F756B">
            <w:pPr>
              <w:pStyle w:val="TableLeftText"/>
            </w:pPr>
            <w:r>
              <w:t>Total Costs – All Applicable Units</w:t>
            </w:r>
          </w:p>
        </w:tc>
        <w:tc>
          <w:tcPr>
            <w:tcW w:w="6570" w:type="dxa"/>
            <w:tcBorders>
              <w:top w:val="single" w:sz="4" w:space="0" w:color="auto"/>
              <w:left w:val="single" w:sz="4" w:space="0" w:color="auto"/>
              <w:bottom w:val="single" w:sz="4" w:space="0" w:color="4A4D56" w:themeColor="text1"/>
              <w:right w:val="single" w:sz="4" w:space="0" w:color="auto"/>
            </w:tcBorders>
          </w:tcPr>
          <w:p w14:paraId="36B373F1" w14:textId="306D08F3" w:rsidR="006F756B" w:rsidRPr="00625570" w:rsidRDefault="006F756B" w:rsidP="006F756B">
            <w:pPr>
              <w:pStyle w:val="TableCenterText"/>
              <w:jc w:val="left"/>
              <w:cnfStyle w:val="000000010000" w:firstRow="0" w:lastRow="0" w:firstColumn="0" w:lastColumn="0" w:oddVBand="0" w:evenVBand="0" w:oddHBand="0" w:evenHBand="1" w:firstRowFirstColumn="0" w:firstRowLastColumn="0" w:lastRowFirstColumn="0" w:lastRowLastColumn="0"/>
            </w:pPr>
            <w:r>
              <w:t xml:space="preserve">Multiplied the </w:t>
            </w:r>
            <w:r w:rsidR="00172059">
              <w:t>'</w:t>
            </w:r>
            <w:r>
              <w:t>Average Cost Across Scenarios</w:t>
            </w:r>
            <w:r w:rsidR="00172059">
              <w:t>'</w:t>
            </w:r>
            <w:r>
              <w:t xml:space="preserve"> by the average number of systems that were replaced in the heating</w:t>
            </w:r>
            <w:r w:rsidR="008A05EF">
              <w:t>-</w:t>
            </w:r>
            <w:r>
              <w:t>only fuel substitution scenario. The previous costs only account for a single heating fuel subst</w:t>
            </w:r>
            <w:r w:rsidR="00287D29">
              <w:t>itu</w:t>
            </w:r>
            <w:r>
              <w:t xml:space="preserve">tion measure. This calculation accounts for the fact that some homes have multiple heating systems eligible for fuel substitution.  </w:t>
            </w:r>
          </w:p>
        </w:tc>
      </w:tr>
      <w:tr w:rsidR="006F756B" w14:paraId="1ACAB2BE" w14:textId="77777777" w:rsidTr="00836F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4A4D56" w:themeColor="text1"/>
              <w:left w:val="single" w:sz="4" w:space="0" w:color="4A4D56" w:themeColor="text1"/>
              <w:bottom w:val="single" w:sz="4" w:space="0" w:color="4A4D56" w:themeColor="text1"/>
              <w:right w:val="nil"/>
            </w:tcBorders>
            <w:shd w:val="clear" w:color="auto" w:fill="B1B4D9" w:themeFill="accent4" w:themeFillTint="99"/>
          </w:tcPr>
          <w:p w14:paraId="338C7AA5" w14:textId="1D9DB60D" w:rsidR="006F756B" w:rsidRPr="00625570" w:rsidRDefault="00287D29" w:rsidP="006F756B">
            <w:pPr>
              <w:pStyle w:val="TableLeftText"/>
              <w:rPr>
                <w:sz w:val="18"/>
                <w:szCs w:val="18"/>
              </w:rPr>
            </w:pPr>
            <w:r>
              <w:rPr>
                <w:rFonts w:asciiTheme="majorHAnsi" w:hAnsiTheme="majorHAnsi"/>
              </w:rPr>
              <w:t>DHW Only</w:t>
            </w:r>
          </w:p>
        </w:tc>
        <w:tc>
          <w:tcPr>
            <w:tcW w:w="6570" w:type="dxa"/>
            <w:tcBorders>
              <w:top w:val="single" w:sz="4" w:space="0" w:color="4A4D56" w:themeColor="text1"/>
              <w:left w:val="nil"/>
              <w:bottom w:val="single" w:sz="4" w:space="0" w:color="4A4D56" w:themeColor="text1"/>
              <w:right w:val="single" w:sz="4" w:space="0" w:color="4A4D56" w:themeColor="text1"/>
            </w:tcBorders>
            <w:shd w:val="clear" w:color="auto" w:fill="B1B4D9" w:themeFill="accent4" w:themeFillTint="99"/>
          </w:tcPr>
          <w:p w14:paraId="4DC85DFE" w14:textId="77777777" w:rsidR="006F756B" w:rsidRPr="0053336D" w:rsidRDefault="006F756B" w:rsidP="006F756B">
            <w:pPr>
              <w:pStyle w:val="TableLeft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287D29" w14:paraId="768BB7F4" w14:textId="77777777" w:rsidTr="00836F9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4A4D56" w:themeColor="text1"/>
              <w:left w:val="single" w:sz="4" w:space="0" w:color="auto"/>
              <w:bottom w:val="single" w:sz="4" w:space="0" w:color="auto"/>
              <w:right w:val="single" w:sz="4" w:space="0" w:color="auto"/>
            </w:tcBorders>
          </w:tcPr>
          <w:p w14:paraId="6D37E8DB" w14:textId="1F7B7A52" w:rsidR="00287D29" w:rsidRDefault="00287D29" w:rsidP="00287D29">
            <w:pPr>
              <w:pStyle w:val="TableLeftText"/>
            </w:pPr>
            <w:r>
              <w:t>Simple Connection Infrastructure Costs</w:t>
            </w:r>
          </w:p>
        </w:tc>
        <w:tc>
          <w:tcPr>
            <w:tcW w:w="6570" w:type="dxa"/>
            <w:tcBorders>
              <w:top w:val="single" w:sz="4" w:space="0" w:color="4A4D56" w:themeColor="text1"/>
              <w:left w:val="single" w:sz="4" w:space="0" w:color="auto"/>
              <w:bottom w:val="single" w:sz="4" w:space="0" w:color="auto"/>
              <w:right w:val="single" w:sz="4" w:space="0" w:color="auto"/>
            </w:tcBorders>
          </w:tcPr>
          <w:p w14:paraId="13BDE1CA" w14:textId="443A2F81" w:rsidR="00287D29" w:rsidRPr="00625570" w:rsidRDefault="00287D29" w:rsidP="00287D29">
            <w:pPr>
              <w:pStyle w:val="TableCenterText"/>
              <w:jc w:val="left"/>
              <w:cnfStyle w:val="000000010000" w:firstRow="0" w:lastRow="0" w:firstColumn="0" w:lastColumn="0" w:oddVBand="0" w:evenVBand="0" w:oddHBand="0" w:evenHBand="1" w:firstRowFirstColumn="0" w:firstRowLastColumn="0" w:lastRowFirstColumn="0" w:lastRowLastColumn="0"/>
            </w:pPr>
            <w:r>
              <w:t>Applied the mean cost from the</w:t>
            </w:r>
            <w:r w:rsidR="00172059">
              <w:t xml:space="preserve">' </w:t>
            </w:r>
            <w:r>
              <w:t xml:space="preserve">50-gallon gas </w:t>
            </w:r>
            <w:r w:rsidR="008530C3">
              <w:t>Domestic Hot Water (</w:t>
            </w:r>
            <w:r>
              <w:t>DHW</w:t>
            </w:r>
            <w:r w:rsidR="008530C3">
              <w:t>)</w:t>
            </w:r>
            <w:r>
              <w:t xml:space="preserve"> to </w:t>
            </w:r>
            <w:r w:rsidR="008530C3">
              <w:t>Heat Pump Water Heater (</w:t>
            </w:r>
            <w:r>
              <w:t>HPWH</w:t>
            </w:r>
            <w:r w:rsidR="008530C3">
              <w:t>)</w:t>
            </w:r>
            <w:r w:rsidR="00172059">
              <w:t>'</w:t>
            </w:r>
            <w:r>
              <w:t xml:space="preserve"> scenario that included installing a 240v circuit and a disconnect</w:t>
            </w:r>
            <w:r w:rsidR="008A05EF">
              <w:t xml:space="preserve"> and</w:t>
            </w:r>
            <w:r>
              <w:t xml:space="preserve"> connecting the HPWH to the panel. </w:t>
            </w:r>
          </w:p>
        </w:tc>
      </w:tr>
      <w:tr w:rsidR="00287D29" w14:paraId="21086C1D" w14:textId="77777777" w:rsidTr="00836F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691D06F8" w14:textId="113C042E" w:rsidR="00287D29" w:rsidRPr="00625570" w:rsidRDefault="00287D29" w:rsidP="00287D29">
            <w:pPr>
              <w:pStyle w:val="TableLeftText"/>
            </w:pPr>
            <w:r>
              <w:t>Panel Upgrade Infrastructure Costs</w:t>
            </w:r>
          </w:p>
        </w:tc>
        <w:tc>
          <w:tcPr>
            <w:tcW w:w="6570" w:type="dxa"/>
            <w:tcBorders>
              <w:top w:val="single" w:sz="4" w:space="0" w:color="auto"/>
              <w:left w:val="single" w:sz="4" w:space="0" w:color="auto"/>
              <w:bottom w:val="single" w:sz="4" w:space="0" w:color="auto"/>
              <w:right w:val="single" w:sz="4" w:space="0" w:color="auto"/>
            </w:tcBorders>
          </w:tcPr>
          <w:p w14:paraId="120D3DCC" w14:textId="1A9BCF80" w:rsidR="00287D29" w:rsidRPr="00625570" w:rsidRDefault="00287D29" w:rsidP="00287D29">
            <w:pPr>
              <w:pStyle w:val="TableCenterText"/>
              <w:jc w:val="left"/>
              <w:cnfStyle w:val="000000100000" w:firstRow="0" w:lastRow="0" w:firstColumn="0" w:lastColumn="0" w:oddVBand="0" w:evenVBand="0" w:oddHBand="1" w:evenHBand="0" w:firstRowFirstColumn="0" w:firstRowLastColumn="0" w:lastRowFirstColumn="0" w:lastRowLastColumn="0"/>
            </w:pPr>
            <w:r>
              <w:t xml:space="preserve">Applied the mean cost from the </w:t>
            </w:r>
            <w:r w:rsidR="00172059">
              <w:t>'</w:t>
            </w:r>
            <w:r>
              <w:t>50-gallon gas DHW to HPWH</w:t>
            </w:r>
            <w:r w:rsidR="00172059">
              <w:t>'</w:t>
            </w:r>
            <w:r>
              <w:t xml:space="preserve"> scenario that included installing a 200-amp panel, a 240v circuit, and a disconnect</w:t>
            </w:r>
            <w:r w:rsidR="008A05EF">
              <w:t xml:space="preserve"> and</w:t>
            </w:r>
            <w:r>
              <w:t xml:space="preserve"> connecting the </w:t>
            </w:r>
            <w:r w:rsidR="00F410C9">
              <w:t>HPWH</w:t>
            </w:r>
            <w:r>
              <w:t xml:space="preserve"> to the panel. </w:t>
            </w:r>
          </w:p>
        </w:tc>
      </w:tr>
      <w:tr w:rsidR="00287D29" w14:paraId="4DBC3F3F" w14:textId="77777777" w:rsidTr="00836F9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4A4D56" w:themeColor="text1"/>
              <w:right w:val="single" w:sz="4" w:space="0" w:color="auto"/>
            </w:tcBorders>
          </w:tcPr>
          <w:p w14:paraId="5B28666E" w14:textId="2B1D92E6" w:rsidR="00287D29" w:rsidRPr="009E5640" w:rsidRDefault="00287D29" w:rsidP="00287D29">
            <w:pPr>
              <w:pStyle w:val="TableLeftText"/>
              <w:rPr>
                <w:rFonts w:asciiTheme="minorHAnsi" w:hAnsiTheme="minorHAnsi"/>
              </w:rPr>
            </w:pPr>
            <w:r>
              <w:t>Panel Optimization Infrastructure Costs</w:t>
            </w:r>
          </w:p>
        </w:tc>
        <w:tc>
          <w:tcPr>
            <w:tcW w:w="6570" w:type="dxa"/>
            <w:tcBorders>
              <w:top w:val="single" w:sz="4" w:space="0" w:color="auto"/>
              <w:left w:val="single" w:sz="4" w:space="0" w:color="auto"/>
              <w:bottom w:val="single" w:sz="4" w:space="0" w:color="4A4D56" w:themeColor="text1"/>
              <w:right w:val="single" w:sz="4" w:space="0" w:color="auto"/>
            </w:tcBorders>
          </w:tcPr>
          <w:p w14:paraId="5DC0EFCC" w14:textId="2731FE38" w:rsidR="00287D29" w:rsidRPr="009E5640" w:rsidRDefault="00287D29" w:rsidP="00287D29">
            <w:pPr>
              <w:pStyle w:val="TableCenterText"/>
              <w:jc w:val="left"/>
              <w:cnfStyle w:val="000000010000" w:firstRow="0" w:lastRow="0" w:firstColumn="0" w:lastColumn="0" w:oddVBand="0" w:evenVBand="0" w:oddHBand="0" w:evenHBand="1" w:firstRowFirstColumn="0" w:firstRowLastColumn="0" w:lastRowFirstColumn="0" w:lastRowLastColumn="0"/>
              <w:rPr>
                <w:rFonts w:asciiTheme="minorHAnsi" w:hAnsiTheme="minorHAnsi"/>
                <w:highlight w:val="yellow"/>
              </w:rPr>
            </w:pPr>
            <w:r>
              <w:t xml:space="preserve">Added the </w:t>
            </w:r>
            <w:r w:rsidR="00172059">
              <w:t>'</w:t>
            </w:r>
            <w:r>
              <w:t>Simple Connection Infrastructure Costs</w:t>
            </w:r>
            <w:r w:rsidR="00172059">
              <w:t>'</w:t>
            </w:r>
            <w:r>
              <w:t xml:space="preserve"> to the average price of a sub-panel installation. Sub-panels were the predominant approach for panel optimization</w:t>
            </w:r>
            <w:r w:rsidR="008A05EF">
              <w:t>,</w:t>
            </w:r>
            <w:r>
              <w:t xml:space="preserve"> according to electricians. </w:t>
            </w:r>
          </w:p>
        </w:tc>
      </w:tr>
      <w:tr w:rsidR="00287D29" w14:paraId="6D15614C" w14:textId="77777777" w:rsidTr="00836F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4A4D56" w:themeColor="text1"/>
              <w:right w:val="single" w:sz="4" w:space="0" w:color="auto"/>
            </w:tcBorders>
          </w:tcPr>
          <w:p w14:paraId="04EDDA6F" w14:textId="66C9A84C" w:rsidR="00287D29" w:rsidRDefault="00287D29" w:rsidP="00287D29">
            <w:pPr>
              <w:pStyle w:val="TableLeftText"/>
            </w:pPr>
            <w:r>
              <w:t>Average Cost Across Scenarios</w:t>
            </w:r>
          </w:p>
        </w:tc>
        <w:tc>
          <w:tcPr>
            <w:tcW w:w="6570" w:type="dxa"/>
            <w:tcBorders>
              <w:top w:val="single" w:sz="4" w:space="0" w:color="auto"/>
              <w:left w:val="single" w:sz="4" w:space="0" w:color="auto"/>
              <w:bottom w:val="single" w:sz="4" w:space="0" w:color="4A4D56" w:themeColor="text1"/>
              <w:right w:val="single" w:sz="4" w:space="0" w:color="auto"/>
            </w:tcBorders>
          </w:tcPr>
          <w:p w14:paraId="33E180C2" w14:textId="1FA1A27D" w:rsidR="00287D29" w:rsidRPr="009E5640" w:rsidRDefault="008A05EF" w:rsidP="00287D29">
            <w:pPr>
              <w:pStyle w:val="TableCenter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highlight w:val="yellow"/>
              </w:rPr>
            </w:pPr>
            <w:r>
              <w:t>The results of the scenarios listed above were weighted</w:t>
            </w:r>
            <w:r w:rsidR="00287D29">
              <w:t xml:space="preserve"> based on their frequency from the scenario analysis.</w:t>
            </w:r>
          </w:p>
        </w:tc>
      </w:tr>
      <w:tr w:rsidR="00287D29" w14:paraId="622B733F" w14:textId="77777777" w:rsidTr="00836F9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4A4D56" w:themeColor="text1"/>
              <w:right w:val="single" w:sz="4" w:space="0" w:color="auto"/>
            </w:tcBorders>
          </w:tcPr>
          <w:p w14:paraId="6842A41B" w14:textId="614A5093" w:rsidR="00287D29" w:rsidRDefault="00287D29" w:rsidP="00287D29">
            <w:pPr>
              <w:pStyle w:val="TableLeftText"/>
            </w:pPr>
            <w:r>
              <w:t>Total Costs – All Applicable Units</w:t>
            </w:r>
          </w:p>
        </w:tc>
        <w:tc>
          <w:tcPr>
            <w:tcW w:w="6570" w:type="dxa"/>
            <w:tcBorders>
              <w:top w:val="single" w:sz="4" w:space="0" w:color="auto"/>
              <w:left w:val="single" w:sz="4" w:space="0" w:color="auto"/>
              <w:bottom w:val="single" w:sz="4" w:space="0" w:color="4A4D56" w:themeColor="text1"/>
              <w:right w:val="single" w:sz="4" w:space="0" w:color="auto"/>
            </w:tcBorders>
          </w:tcPr>
          <w:p w14:paraId="5F9E979E" w14:textId="2DDF7839" w:rsidR="00287D29" w:rsidRPr="009E5640" w:rsidRDefault="00287D29" w:rsidP="00287D29">
            <w:pPr>
              <w:pStyle w:val="TableCenterText"/>
              <w:jc w:val="left"/>
              <w:cnfStyle w:val="000000010000" w:firstRow="0" w:lastRow="0" w:firstColumn="0" w:lastColumn="0" w:oddVBand="0" w:evenVBand="0" w:oddHBand="0" w:evenHBand="1" w:firstRowFirstColumn="0" w:firstRowLastColumn="0" w:lastRowFirstColumn="0" w:lastRowLastColumn="0"/>
              <w:rPr>
                <w:rFonts w:asciiTheme="minorHAnsi" w:hAnsiTheme="minorHAnsi"/>
                <w:highlight w:val="yellow"/>
              </w:rPr>
            </w:pPr>
            <w:r>
              <w:t xml:space="preserve">Multiplied the </w:t>
            </w:r>
            <w:r w:rsidR="00172059">
              <w:t>'</w:t>
            </w:r>
            <w:r>
              <w:t>Average Cost Across Scenarios</w:t>
            </w:r>
            <w:r w:rsidR="00172059">
              <w:t>'</w:t>
            </w:r>
            <w:r>
              <w:t xml:space="preserve"> by the average number of systems that were replaced in the DHW</w:t>
            </w:r>
            <w:r w:rsidR="008A05EF">
              <w:t>-</w:t>
            </w:r>
            <w:r>
              <w:t xml:space="preserve">only fuel substitution scenario. The previous costs only account for a single water heating fuel substitution </w:t>
            </w:r>
            <w:r>
              <w:lastRenderedPageBreak/>
              <w:t xml:space="preserve">measure. This calculation accounts for the fact that some homes have multiple water heating systems eligible for fuel substitution.  </w:t>
            </w:r>
          </w:p>
        </w:tc>
      </w:tr>
      <w:tr w:rsidR="006F756B" w14:paraId="628D0808" w14:textId="77777777" w:rsidTr="00836F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4A4D56" w:themeColor="text1"/>
              <w:left w:val="single" w:sz="4" w:space="0" w:color="4A4D56" w:themeColor="text1"/>
              <w:bottom w:val="single" w:sz="4" w:space="0" w:color="4A4D56" w:themeColor="text1"/>
              <w:right w:val="nil"/>
            </w:tcBorders>
            <w:shd w:val="clear" w:color="auto" w:fill="FFCB8C" w:themeFill="accent6" w:themeFillShade="E6"/>
          </w:tcPr>
          <w:p w14:paraId="49D3416E" w14:textId="4F8B2EA2" w:rsidR="006F756B" w:rsidRPr="009E5640" w:rsidRDefault="0091604C" w:rsidP="006F756B">
            <w:pPr>
              <w:pStyle w:val="TableLeftTextMedium"/>
              <w:rPr>
                <w:rFonts w:asciiTheme="minorHAnsi" w:hAnsiTheme="minorHAnsi"/>
                <w:sz w:val="18"/>
                <w:szCs w:val="18"/>
                <w:highlight w:val="yellow"/>
              </w:rPr>
            </w:pPr>
            <w:r>
              <w:lastRenderedPageBreak/>
              <w:t xml:space="preserve">Space </w:t>
            </w:r>
            <w:r w:rsidR="00F410C9">
              <w:t>Heating and DHW</w:t>
            </w:r>
          </w:p>
        </w:tc>
        <w:tc>
          <w:tcPr>
            <w:tcW w:w="6570" w:type="dxa"/>
            <w:tcBorders>
              <w:top w:val="single" w:sz="4" w:space="0" w:color="4A4D56" w:themeColor="text1"/>
              <w:left w:val="nil"/>
              <w:bottom w:val="single" w:sz="4" w:space="0" w:color="4A4D56" w:themeColor="text1"/>
              <w:right w:val="single" w:sz="4" w:space="0" w:color="4A4D56" w:themeColor="text1"/>
            </w:tcBorders>
            <w:shd w:val="clear" w:color="auto" w:fill="FFCB8C" w:themeFill="accent6" w:themeFillShade="E6"/>
          </w:tcPr>
          <w:p w14:paraId="7AEC9E97" w14:textId="77777777" w:rsidR="006F756B" w:rsidRPr="0053336D" w:rsidRDefault="006F756B" w:rsidP="006F756B">
            <w:pPr>
              <w:pStyle w:val="TableLeftTextMedium"/>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F410C9" w14:paraId="36477AEA" w14:textId="77777777" w:rsidTr="00836F9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4A4D56" w:themeColor="text1"/>
              <w:left w:val="single" w:sz="4" w:space="0" w:color="auto"/>
              <w:bottom w:val="single" w:sz="4" w:space="0" w:color="auto"/>
              <w:right w:val="single" w:sz="4" w:space="0" w:color="auto"/>
            </w:tcBorders>
          </w:tcPr>
          <w:p w14:paraId="5779FA70" w14:textId="5CBAED03" w:rsidR="00F410C9" w:rsidRDefault="00F410C9" w:rsidP="00F410C9">
            <w:pPr>
              <w:pStyle w:val="TableLeftText"/>
            </w:pPr>
            <w:r>
              <w:t>Simple Connection Infrastructure Costs</w:t>
            </w:r>
          </w:p>
        </w:tc>
        <w:tc>
          <w:tcPr>
            <w:tcW w:w="6570" w:type="dxa"/>
            <w:tcBorders>
              <w:top w:val="single" w:sz="4" w:space="0" w:color="4A4D56" w:themeColor="text1"/>
              <w:left w:val="single" w:sz="4" w:space="0" w:color="auto"/>
              <w:bottom w:val="single" w:sz="4" w:space="0" w:color="auto"/>
              <w:right w:val="single" w:sz="4" w:space="0" w:color="auto"/>
            </w:tcBorders>
          </w:tcPr>
          <w:p w14:paraId="2E74149C" w14:textId="45E5C874" w:rsidR="00F410C9" w:rsidRPr="009E5640" w:rsidRDefault="00F410C9" w:rsidP="00F410C9">
            <w:pPr>
              <w:pStyle w:val="TableCenterText"/>
              <w:jc w:val="left"/>
              <w:cnfStyle w:val="000000010000" w:firstRow="0" w:lastRow="0" w:firstColumn="0" w:lastColumn="0" w:oddVBand="0" w:evenVBand="0" w:oddHBand="0" w:evenHBand="1" w:firstRowFirstColumn="0" w:firstRowLastColumn="0" w:lastRowFirstColumn="0" w:lastRowLastColumn="0"/>
              <w:rPr>
                <w:highlight w:val="yellow"/>
              </w:rPr>
            </w:pPr>
            <w:r>
              <w:t xml:space="preserve">Applied the mean cost from the </w:t>
            </w:r>
            <w:r w:rsidR="00172059">
              <w:t>'</w:t>
            </w:r>
            <w:r>
              <w:t>Gas Furnace w/CAC AND Gas DHW to ASHP and HPWH</w:t>
            </w:r>
            <w:r w:rsidR="00172059">
              <w:t>'</w:t>
            </w:r>
            <w:r>
              <w:t xml:space="preserve"> scenario that included installing a 240v circuit and a disconnect</w:t>
            </w:r>
            <w:r w:rsidR="008A05EF">
              <w:t xml:space="preserve"> and</w:t>
            </w:r>
            <w:r>
              <w:t xml:space="preserve"> connecting the ASHP and HPWH to the panel. </w:t>
            </w:r>
          </w:p>
        </w:tc>
      </w:tr>
      <w:tr w:rsidR="00F410C9" w14:paraId="3EAF8175" w14:textId="77777777" w:rsidTr="00836F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6F433F77" w14:textId="45CC5B06" w:rsidR="00F410C9" w:rsidRDefault="00F410C9" w:rsidP="00F410C9">
            <w:pPr>
              <w:pStyle w:val="TableLeftText"/>
            </w:pPr>
            <w:r>
              <w:t>Panel Upgrade Infrastructure Costs</w:t>
            </w:r>
          </w:p>
        </w:tc>
        <w:tc>
          <w:tcPr>
            <w:tcW w:w="6570" w:type="dxa"/>
            <w:tcBorders>
              <w:top w:val="single" w:sz="4" w:space="0" w:color="auto"/>
              <w:left w:val="single" w:sz="4" w:space="0" w:color="auto"/>
              <w:bottom w:val="single" w:sz="4" w:space="0" w:color="auto"/>
              <w:right w:val="single" w:sz="4" w:space="0" w:color="auto"/>
            </w:tcBorders>
          </w:tcPr>
          <w:p w14:paraId="2082381D" w14:textId="35D23752" w:rsidR="00F410C9" w:rsidRPr="009E5640" w:rsidRDefault="00F410C9" w:rsidP="00F410C9">
            <w:pPr>
              <w:pStyle w:val="TableCenterText"/>
              <w:jc w:val="left"/>
              <w:cnfStyle w:val="000000100000" w:firstRow="0" w:lastRow="0" w:firstColumn="0" w:lastColumn="0" w:oddVBand="0" w:evenVBand="0" w:oddHBand="1" w:evenHBand="0" w:firstRowFirstColumn="0" w:firstRowLastColumn="0" w:lastRowFirstColumn="0" w:lastRowLastColumn="0"/>
              <w:rPr>
                <w:highlight w:val="yellow"/>
              </w:rPr>
            </w:pPr>
            <w:r>
              <w:t xml:space="preserve">Applied the mean cost from the </w:t>
            </w:r>
            <w:r w:rsidR="00172059">
              <w:t>'</w:t>
            </w:r>
            <w:r>
              <w:t>Gas Furnace w/CAC AND Gas DHW to ASHP and HPWH</w:t>
            </w:r>
            <w:r w:rsidR="00172059">
              <w:t>'</w:t>
            </w:r>
            <w:r>
              <w:t xml:space="preserve"> scenario that included installing a 200-amp panel, a 240v circuit, and a disconnect, as well as connecting the ASHP and HPWH to the panel. </w:t>
            </w:r>
          </w:p>
        </w:tc>
      </w:tr>
      <w:tr w:rsidR="00F410C9" w14:paraId="217370AE" w14:textId="77777777" w:rsidTr="00836F9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6E0645EF" w14:textId="1254FD2A" w:rsidR="00F410C9" w:rsidRDefault="00F410C9" w:rsidP="00F410C9">
            <w:pPr>
              <w:pStyle w:val="TableLeftText"/>
            </w:pPr>
            <w:r>
              <w:t>Panel Optimization Infrastructure Costs</w:t>
            </w:r>
          </w:p>
        </w:tc>
        <w:tc>
          <w:tcPr>
            <w:tcW w:w="6570" w:type="dxa"/>
            <w:tcBorders>
              <w:top w:val="single" w:sz="4" w:space="0" w:color="auto"/>
              <w:left w:val="single" w:sz="4" w:space="0" w:color="auto"/>
              <w:bottom w:val="single" w:sz="4" w:space="0" w:color="auto"/>
              <w:right w:val="single" w:sz="4" w:space="0" w:color="auto"/>
            </w:tcBorders>
          </w:tcPr>
          <w:p w14:paraId="22AB51F2" w14:textId="5C0FA667" w:rsidR="00F410C9" w:rsidRPr="009E5640" w:rsidRDefault="00F410C9" w:rsidP="00F410C9">
            <w:pPr>
              <w:pStyle w:val="TableCenterText"/>
              <w:jc w:val="left"/>
              <w:cnfStyle w:val="000000010000" w:firstRow="0" w:lastRow="0" w:firstColumn="0" w:lastColumn="0" w:oddVBand="0" w:evenVBand="0" w:oddHBand="0" w:evenHBand="1" w:firstRowFirstColumn="0" w:firstRowLastColumn="0" w:lastRowFirstColumn="0" w:lastRowLastColumn="0"/>
              <w:rPr>
                <w:highlight w:val="yellow"/>
              </w:rPr>
            </w:pPr>
            <w:r>
              <w:t xml:space="preserve">Added the </w:t>
            </w:r>
            <w:r w:rsidR="00172059">
              <w:t>'</w:t>
            </w:r>
            <w:r>
              <w:t>Simple Connection Infrastructure Costs</w:t>
            </w:r>
            <w:r w:rsidR="00172059">
              <w:t>'</w:t>
            </w:r>
            <w:r>
              <w:t xml:space="preserve"> to the average price of a sub-panel installation. Sub-panels were the predominant approach for panel optimization</w:t>
            </w:r>
            <w:r w:rsidR="008A05EF">
              <w:t>,</w:t>
            </w:r>
            <w:r>
              <w:t xml:space="preserve"> according to electricians. </w:t>
            </w:r>
          </w:p>
        </w:tc>
      </w:tr>
      <w:tr w:rsidR="00F410C9" w14:paraId="723E4363" w14:textId="77777777" w:rsidTr="00836F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1EAFAC43" w14:textId="2860F351" w:rsidR="00F410C9" w:rsidRDefault="00F410C9" w:rsidP="00F410C9">
            <w:pPr>
              <w:pStyle w:val="TableLeftText"/>
            </w:pPr>
            <w:r>
              <w:t>Average Cost Across Scenarios</w:t>
            </w:r>
          </w:p>
        </w:tc>
        <w:tc>
          <w:tcPr>
            <w:tcW w:w="6570" w:type="dxa"/>
            <w:tcBorders>
              <w:top w:val="single" w:sz="4" w:space="0" w:color="auto"/>
              <w:left w:val="single" w:sz="4" w:space="0" w:color="auto"/>
              <w:bottom w:val="single" w:sz="4" w:space="0" w:color="auto"/>
              <w:right w:val="single" w:sz="4" w:space="0" w:color="auto"/>
            </w:tcBorders>
          </w:tcPr>
          <w:p w14:paraId="5470461A" w14:textId="7C899C6B" w:rsidR="00F410C9" w:rsidRPr="009E5640" w:rsidRDefault="008A05EF" w:rsidP="00F410C9">
            <w:pPr>
              <w:pStyle w:val="TableCenterText"/>
              <w:jc w:val="left"/>
              <w:cnfStyle w:val="000000100000" w:firstRow="0" w:lastRow="0" w:firstColumn="0" w:lastColumn="0" w:oddVBand="0" w:evenVBand="0" w:oddHBand="1" w:evenHBand="0" w:firstRowFirstColumn="0" w:firstRowLastColumn="0" w:lastRowFirstColumn="0" w:lastRowLastColumn="0"/>
              <w:rPr>
                <w:highlight w:val="yellow"/>
              </w:rPr>
            </w:pPr>
            <w:r>
              <w:t>The results of the scenarios listed above were weighted</w:t>
            </w:r>
            <w:r w:rsidR="00F410C9">
              <w:t xml:space="preserve"> based on their frequency from the scenario analysis.</w:t>
            </w:r>
          </w:p>
        </w:tc>
      </w:tr>
      <w:tr w:rsidR="00F410C9" w14:paraId="30E371B7" w14:textId="77777777" w:rsidTr="00F700F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59AC150A" w14:textId="3AD7920D" w:rsidR="00F410C9" w:rsidRDefault="00F410C9" w:rsidP="00F410C9">
            <w:pPr>
              <w:pStyle w:val="TableLeftText"/>
            </w:pPr>
            <w:r>
              <w:t>Total Costs – All Applicable Units</w:t>
            </w:r>
          </w:p>
        </w:tc>
        <w:tc>
          <w:tcPr>
            <w:tcW w:w="6570" w:type="dxa"/>
            <w:tcBorders>
              <w:top w:val="single" w:sz="4" w:space="0" w:color="auto"/>
              <w:left w:val="single" w:sz="4" w:space="0" w:color="auto"/>
              <w:bottom w:val="single" w:sz="4" w:space="0" w:color="auto"/>
              <w:right w:val="single" w:sz="4" w:space="0" w:color="auto"/>
            </w:tcBorders>
          </w:tcPr>
          <w:p w14:paraId="39B00603" w14:textId="30B25839" w:rsidR="00F410C9" w:rsidRPr="009E5640" w:rsidRDefault="00F410C9" w:rsidP="00F410C9">
            <w:pPr>
              <w:pStyle w:val="TableCenterText"/>
              <w:jc w:val="left"/>
              <w:cnfStyle w:val="000000010000" w:firstRow="0" w:lastRow="0" w:firstColumn="0" w:lastColumn="0" w:oddVBand="0" w:evenVBand="0" w:oddHBand="0" w:evenHBand="1" w:firstRowFirstColumn="0" w:firstRowLastColumn="0" w:lastRowFirstColumn="0" w:lastRowLastColumn="0"/>
              <w:rPr>
                <w:highlight w:val="yellow"/>
              </w:rPr>
            </w:pPr>
            <w:r>
              <w:t xml:space="preserve">Multiplied the </w:t>
            </w:r>
            <w:r w:rsidR="00172059">
              <w:t>'</w:t>
            </w:r>
            <w:r>
              <w:t>Average Cost Across Scenarios</w:t>
            </w:r>
            <w:r w:rsidR="00172059">
              <w:t>'</w:t>
            </w:r>
            <w:r>
              <w:t xml:space="preserve"> by the average number of systems that were replaced in the Heating and DHW fuel substitution scenario. The previous costs only account for a single HPWH and ASHP, respectively. This calculation accounts for the fact that some homes have multiple heating or water heating systems eligible for fuel substitution.  </w:t>
            </w:r>
          </w:p>
        </w:tc>
      </w:tr>
      <w:tr w:rsidR="00F700FC" w14:paraId="57BEF1DB" w14:textId="77777777" w:rsidTr="00F700F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nil"/>
            </w:tcBorders>
            <w:shd w:val="clear" w:color="auto" w:fill="809EDC" w:themeFill="accent1" w:themeFillTint="66"/>
          </w:tcPr>
          <w:p w14:paraId="227A0B1C" w14:textId="2BDF3C7C" w:rsidR="00F700FC" w:rsidRDefault="00F700FC" w:rsidP="00F700FC">
            <w:pPr>
              <w:pStyle w:val="TableLeftTextMedium"/>
            </w:pPr>
            <w:r>
              <w:t>All Electric</w:t>
            </w:r>
            <w:r w:rsidR="007F0E30">
              <w:t xml:space="preserve"> (Convert all FS eligible measures to electric)</w:t>
            </w:r>
          </w:p>
        </w:tc>
        <w:tc>
          <w:tcPr>
            <w:tcW w:w="6570" w:type="dxa"/>
            <w:tcBorders>
              <w:top w:val="single" w:sz="4" w:space="0" w:color="auto"/>
              <w:left w:val="nil"/>
              <w:bottom w:val="single" w:sz="4" w:space="0" w:color="auto"/>
              <w:right w:val="single" w:sz="4" w:space="0" w:color="auto"/>
            </w:tcBorders>
            <w:shd w:val="clear" w:color="auto" w:fill="809EDC" w:themeFill="accent1" w:themeFillTint="66"/>
          </w:tcPr>
          <w:p w14:paraId="3F0902D8" w14:textId="77777777" w:rsidR="00F700FC" w:rsidRDefault="00F700FC" w:rsidP="00F410C9">
            <w:pPr>
              <w:pStyle w:val="TableCenterText"/>
              <w:jc w:val="left"/>
              <w:cnfStyle w:val="000000100000" w:firstRow="0" w:lastRow="0" w:firstColumn="0" w:lastColumn="0" w:oddVBand="0" w:evenVBand="0" w:oddHBand="1" w:evenHBand="0" w:firstRowFirstColumn="0" w:firstRowLastColumn="0" w:lastRowFirstColumn="0" w:lastRowLastColumn="0"/>
            </w:pPr>
          </w:p>
        </w:tc>
      </w:tr>
      <w:tr w:rsidR="00F700FC" w14:paraId="1188CDEE" w14:textId="77777777" w:rsidTr="00836F9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53515325" w14:textId="1FF18069" w:rsidR="00F700FC" w:rsidRDefault="00F700FC" w:rsidP="00F700FC">
            <w:pPr>
              <w:pStyle w:val="TableLeftText"/>
            </w:pPr>
            <w:r>
              <w:t>Simple Connection Infrastructure Costs</w:t>
            </w:r>
          </w:p>
        </w:tc>
        <w:tc>
          <w:tcPr>
            <w:tcW w:w="6570" w:type="dxa"/>
            <w:tcBorders>
              <w:top w:val="single" w:sz="4" w:space="0" w:color="auto"/>
              <w:left w:val="single" w:sz="4" w:space="0" w:color="auto"/>
              <w:bottom w:val="single" w:sz="4" w:space="0" w:color="auto"/>
              <w:right w:val="single" w:sz="4" w:space="0" w:color="auto"/>
            </w:tcBorders>
          </w:tcPr>
          <w:p w14:paraId="35E45435" w14:textId="77777777" w:rsidR="00E021EE" w:rsidRDefault="008D1A4A" w:rsidP="00F700FC">
            <w:pPr>
              <w:pStyle w:val="TableCenterText"/>
              <w:jc w:val="left"/>
              <w:cnfStyle w:val="000000010000" w:firstRow="0" w:lastRow="0" w:firstColumn="0" w:lastColumn="0" w:oddVBand="0" w:evenVBand="0" w:oddHBand="0" w:evenHBand="1" w:firstRowFirstColumn="0" w:firstRowLastColumn="0" w:lastRowFirstColumn="0" w:lastRowLastColumn="0"/>
            </w:pPr>
            <w:r>
              <w:t xml:space="preserve">Averaged the </w:t>
            </w:r>
            <w:r w:rsidR="00E021EE">
              <w:t>following mean costs from the electrician scenario results:</w:t>
            </w:r>
          </w:p>
          <w:p w14:paraId="2811439C" w14:textId="001E0299" w:rsidR="00F700FC" w:rsidRDefault="008D1A4A" w:rsidP="00E021EE">
            <w:pPr>
              <w:pStyle w:val="TableBullet"/>
              <w:cnfStyle w:val="000000010000" w:firstRow="0" w:lastRow="0" w:firstColumn="0" w:lastColumn="0" w:oddVBand="0" w:evenVBand="0" w:oddHBand="0" w:evenHBand="1" w:firstRowFirstColumn="0" w:firstRowLastColumn="0" w:lastRowFirstColumn="0" w:lastRowLastColumn="0"/>
            </w:pPr>
            <w:r>
              <w:t xml:space="preserve"> </w:t>
            </w:r>
            <w:r w:rsidR="00172059">
              <w:t>'</w:t>
            </w:r>
            <w:r w:rsidR="00E021EE">
              <w:t>Gas Fired Furnace w/CAC to ASHP</w:t>
            </w:r>
            <w:r w:rsidR="00172059">
              <w:t>'</w:t>
            </w:r>
            <w:r w:rsidR="00E021EE">
              <w:t xml:space="preserve"> – connect ASHP to panel</w:t>
            </w:r>
          </w:p>
          <w:p w14:paraId="1F31CCF3" w14:textId="1B48C32F" w:rsidR="00E021EE" w:rsidRDefault="00172059" w:rsidP="00E021EE">
            <w:pPr>
              <w:pStyle w:val="TableBullet"/>
              <w:cnfStyle w:val="000000010000" w:firstRow="0" w:lastRow="0" w:firstColumn="0" w:lastColumn="0" w:oddVBand="0" w:evenVBand="0" w:oddHBand="0" w:evenHBand="1" w:firstRowFirstColumn="0" w:firstRowLastColumn="0" w:lastRowFirstColumn="0" w:lastRowLastColumn="0"/>
            </w:pPr>
            <w:r>
              <w:t xml:space="preserve">' </w:t>
            </w:r>
            <w:r w:rsidR="00E021EE">
              <w:t>50-gallon gas DHW to HPWH</w:t>
            </w:r>
            <w:r>
              <w:t>'</w:t>
            </w:r>
            <w:r w:rsidR="00E021EE">
              <w:t xml:space="preserve"> – install 240v circuit and disconnect, connect HPWH to panel</w:t>
            </w:r>
          </w:p>
          <w:p w14:paraId="71EFA48E" w14:textId="081E688E" w:rsidR="00E021EE" w:rsidRDefault="00172059" w:rsidP="00E021EE">
            <w:pPr>
              <w:pStyle w:val="TableBullet"/>
              <w:cnfStyle w:val="000000010000" w:firstRow="0" w:lastRow="0" w:firstColumn="0" w:lastColumn="0" w:oddVBand="0" w:evenVBand="0" w:oddHBand="0" w:evenHBand="1" w:firstRowFirstColumn="0" w:firstRowLastColumn="0" w:lastRowFirstColumn="0" w:lastRowLastColumn="0"/>
            </w:pPr>
            <w:r>
              <w:t>'</w:t>
            </w:r>
            <w:r w:rsidR="00E021EE">
              <w:t>Gas-Powered Range to Induction Range</w:t>
            </w:r>
            <w:r>
              <w:t>'</w:t>
            </w:r>
            <w:r w:rsidR="00E021EE">
              <w:t xml:space="preserve"> – connect induction range to panel </w:t>
            </w:r>
          </w:p>
        </w:tc>
      </w:tr>
      <w:tr w:rsidR="00F700FC" w14:paraId="337434D1" w14:textId="77777777" w:rsidTr="00836F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4850DE21" w14:textId="0ED7F53E" w:rsidR="00F700FC" w:rsidRDefault="00F700FC" w:rsidP="00F700FC">
            <w:pPr>
              <w:pStyle w:val="TableLeftText"/>
            </w:pPr>
            <w:r>
              <w:t>Panel Upgrade Infrastructure Costs</w:t>
            </w:r>
          </w:p>
        </w:tc>
        <w:tc>
          <w:tcPr>
            <w:tcW w:w="6570" w:type="dxa"/>
            <w:tcBorders>
              <w:top w:val="single" w:sz="4" w:space="0" w:color="auto"/>
              <w:left w:val="single" w:sz="4" w:space="0" w:color="auto"/>
              <w:bottom w:val="single" w:sz="4" w:space="0" w:color="auto"/>
              <w:right w:val="single" w:sz="4" w:space="0" w:color="auto"/>
            </w:tcBorders>
          </w:tcPr>
          <w:p w14:paraId="51634495" w14:textId="77777777" w:rsidR="00E021EE" w:rsidRDefault="00E021EE" w:rsidP="00E021EE">
            <w:pPr>
              <w:pStyle w:val="TableCenterText"/>
              <w:jc w:val="left"/>
              <w:cnfStyle w:val="000000100000" w:firstRow="0" w:lastRow="0" w:firstColumn="0" w:lastColumn="0" w:oddVBand="0" w:evenVBand="0" w:oddHBand="1" w:evenHBand="0" w:firstRowFirstColumn="0" w:firstRowLastColumn="0" w:lastRowFirstColumn="0" w:lastRowLastColumn="0"/>
            </w:pPr>
            <w:r>
              <w:t>Averaged the following mean costs from the electrician scenario results:</w:t>
            </w:r>
          </w:p>
          <w:p w14:paraId="684AFA8B" w14:textId="3741CE5D" w:rsidR="00E021EE" w:rsidRDefault="00E021EE" w:rsidP="00E021EE">
            <w:pPr>
              <w:pStyle w:val="TableBullet"/>
              <w:cnfStyle w:val="000000100000" w:firstRow="0" w:lastRow="0" w:firstColumn="0" w:lastColumn="0" w:oddVBand="0" w:evenVBand="0" w:oddHBand="1" w:evenHBand="0" w:firstRowFirstColumn="0" w:firstRowLastColumn="0" w:lastRowFirstColumn="0" w:lastRowLastColumn="0"/>
            </w:pPr>
            <w:r>
              <w:t xml:space="preserve"> </w:t>
            </w:r>
            <w:r w:rsidR="00172059">
              <w:t>'</w:t>
            </w:r>
            <w:r>
              <w:t>Gas Fired Furnace w/no CAC to ASHP</w:t>
            </w:r>
            <w:r w:rsidR="00172059">
              <w:t>'</w:t>
            </w:r>
            <w:r>
              <w:t xml:space="preserve"> – install 200-amp panel, install 240v circuit and disconnect, connect ASHP to panel</w:t>
            </w:r>
          </w:p>
          <w:p w14:paraId="4ED0C460" w14:textId="5224C1F2" w:rsidR="00E021EE" w:rsidRDefault="00172059" w:rsidP="00E021EE">
            <w:pPr>
              <w:pStyle w:val="TableBullet"/>
              <w:cnfStyle w:val="000000100000" w:firstRow="0" w:lastRow="0" w:firstColumn="0" w:lastColumn="0" w:oddVBand="0" w:evenVBand="0" w:oddHBand="1" w:evenHBand="0" w:firstRowFirstColumn="0" w:firstRowLastColumn="0" w:lastRowFirstColumn="0" w:lastRowLastColumn="0"/>
            </w:pPr>
            <w:r>
              <w:t xml:space="preserve">' </w:t>
            </w:r>
            <w:r w:rsidR="00E021EE">
              <w:t>50-gallon gas DHW to HPWH</w:t>
            </w:r>
            <w:r>
              <w:t>'</w:t>
            </w:r>
            <w:r w:rsidR="00E021EE">
              <w:t xml:space="preserve"> – install 200-amp panel, install 240v circuit and disconnect, connect HPWH to panel</w:t>
            </w:r>
          </w:p>
          <w:p w14:paraId="61667A71" w14:textId="393FD044" w:rsidR="00F700FC" w:rsidRPr="00E021EE" w:rsidRDefault="00172059" w:rsidP="00E021EE">
            <w:pPr>
              <w:pStyle w:val="TableBullet"/>
              <w:cnfStyle w:val="000000100000" w:firstRow="0" w:lastRow="0" w:firstColumn="0" w:lastColumn="0" w:oddVBand="0" w:evenVBand="0" w:oddHBand="1" w:evenHBand="0" w:firstRowFirstColumn="0" w:firstRowLastColumn="0" w:lastRowFirstColumn="0" w:lastRowLastColumn="0"/>
            </w:pPr>
            <w:r>
              <w:t>'</w:t>
            </w:r>
            <w:r w:rsidR="00E021EE" w:rsidRPr="00E021EE">
              <w:t>Gas-Powered Range to Induction Range</w:t>
            </w:r>
            <w:r>
              <w:t>'</w:t>
            </w:r>
            <w:r w:rsidR="00E021EE" w:rsidRPr="00E021EE">
              <w:t xml:space="preserve"> – install 200-amp panel and connect induction range to panel</w:t>
            </w:r>
          </w:p>
        </w:tc>
      </w:tr>
      <w:tr w:rsidR="00E021EE" w14:paraId="5B844836" w14:textId="77777777" w:rsidTr="00836F9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0C1B01C2" w14:textId="0DE80EBD" w:rsidR="00E021EE" w:rsidRDefault="00E021EE" w:rsidP="00E021EE">
            <w:pPr>
              <w:pStyle w:val="TableLeftText"/>
            </w:pPr>
            <w:r>
              <w:t>Panel Optimization Infrastructure Costs</w:t>
            </w:r>
          </w:p>
        </w:tc>
        <w:tc>
          <w:tcPr>
            <w:tcW w:w="6570" w:type="dxa"/>
            <w:tcBorders>
              <w:top w:val="single" w:sz="4" w:space="0" w:color="auto"/>
              <w:left w:val="single" w:sz="4" w:space="0" w:color="auto"/>
              <w:bottom w:val="single" w:sz="4" w:space="0" w:color="auto"/>
              <w:right w:val="single" w:sz="4" w:space="0" w:color="auto"/>
            </w:tcBorders>
          </w:tcPr>
          <w:p w14:paraId="031F1C10" w14:textId="4A492607" w:rsidR="00E021EE" w:rsidRDefault="00E021EE" w:rsidP="00E021EE">
            <w:pPr>
              <w:pStyle w:val="TableCenterText"/>
              <w:jc w:val="left"/>
              <w:cnfStyle w:val="000000010000" w:firstRow="0" w:lastRow="0" w:firstColumn="0" w:lastColumn="0" w:oddVBand="0" w:evenVBand="0" w:oddHBand="0" w:evenHBand="1" w:firstRowFirstColumn="0" w:firstRowLastColumn="0" w:lastRowFirstColumn="0" w:lastRowLastColumn="0"/>
            </w:pPr>
            <w:r>
              <w:t xml:space="preserve">Added the </w:t>
            </w:r>
            <w:r w:rsidR="00172059">
              <w:t>'</w:t>
            </w:r>
            <w:r>
              <w:t>Simple Connection Infrastructure Costs</w:t>
            </w:r>
            <w:r w:rsidR="00172059">
              <w:t>'</w:t>
            </w:r>
            <w:r>
              <w:t xml:space="preserve"> to the average price of a sub-panel installation. Sub-panels were the predominant approach for panel optimization</w:t>
            </w:r>
            <w:r w:rsidR="008A05EF">
              <w:t>,</w:t>
            </w:r>
            <w:r>
              <w:t xml:space="preserve"> according to electricians. </w:t>
            </w:r>
          </w:p>
        </w:tc>
      </w:tr>
      <w:tr w:rsidR="00E021EE" w14:paraId="0DF51654" w14:textId="77777777" w:rsidTr="00836F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7CD31483" w14:textId="1A8A1984" w:rsidR="00E021EE" w:rsidRDefault="00E021EE" w:rsidP="00E021EE">
            <w:pPr>
              <w:pStyle w:val="TableLeftText"/>
            </w:pPr>
            <w:r>
              <w:t>Average Cost Across Scenarios</w:t>
            </w:r>
          </w:p>
        </w:tc>
        <w:tc>
          <w:tcPr>
            <w:tcW w:w="6570" w:type="dxa"/>
            <w:tcBorders>
              <w:top w:val="single" w:sz="4" w:space="0" w:color="auto"/>
              <w:left w:val="single" w:sz="4" w:space="0" w:color="auto"/>
              <w:bottom w:val="single" w:sz="4" w:space="0" w:color="auto"/>
              <w:right w:val="single" w:sz="4" w:space="0" w:color="auto"/>
            </w:tcBorders>
          </w:tcPr>
          <w:p w14:paraId="48C6CEB7" w14:textId="55441D92" w:rsidR="00E021EE" w:rsidRDefault="008A05EF" w:rsidP="00E021EE">
            <w:pPr>
              <w:pStyle w:val="TableCenterText"/>
              <w:jc w:val="left"/>
              <w:cnfStyle w:val="000000100000" w:firstRow="0" w:lastRow="0" w:firstColumn="0" w:lastColumn="0" w:oddVBand="0" w:evenVBand="0" w:oddHBand="1" w:evenHBand="0" w:firstRowFirstColumn="0" w:firstRowLastColumn="0" w:lastRowFirstColumn="0" w:lastRowLastColumn="0"/>
            </w:pPr>
            <w:r>
              <w:t>The results of the scenarios listed above were weighted</w:t>
            </w:r>
            <w:r w:rsidR="00E021EE">
              <w:t xml:space="preserve"> based on their frequency from the scenario analysis.</w:t>
            </w:r>
          </w:p>
        </w:tc>
      </w:tr>
      <w:tr w:rsidR="00E021EE" w14:paraId="41D3C8FB" w14:textId="77777777" w:rsidTr="00836F9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0E6651CF" w14:textId="2B16408B" w:rsidR="00E021EE" w:rsidRDefault="00E021EE" w:rsidP="00E021EE">
            <w:pPr>
              <w:pStyle w:val="TableLeftText"/>
            </w:pPr>
            <w:r>
              <w:t>Total Costs – All Applicable Units</w:t>
            </w:r>
          </w:p>
        </w:tc>
        <w:tc>
          <w:tcPr>
            <w:tcW w:w="6570" w:type="dxa"/>
            <w:tcBorders>
              <w:top w:val="single" w:sz="4" w:space="0" w:color="auto"/>
              <w:left w:val="single" w:sz="4" w:space="0" w:color="auto"/>
              <w:bottom w:val="single" w:sz="4" w:space="0" w:color="auto"/>
              <w:right w:val="single" w:sz="4" w:space="0" w:color="auto"/>
            </w:tcBorders>
          </w:tcPr>
          <w:p w14:paraId="065D3C02" w14:textId="290CFA9F" w:rsidR="00E021EE" w:rsidRDefault="00E021EE" w:rsidP="00E021EE">
            <w:pPr>
              <w:pStyle w:val="TableCenterText"/>
              <w:jc w:val="left"/>
              <w:cnfStyle w:val="000000010000" w:firstRow="0" w:lastRow="0" w:firstColumn="0" w:lastColumn="0" w:oddVBand="0" w:evenVBand="0" w:oddHBand="0" w:evenHBand="1" w:firstRowFirstColumn="0" w:firstRowLastColumn="0" w:lastRowFirstColumn="0" w:lastRowLastColumn="0"/>
            </w:pPr>
            <w:r>
              <w:t xml:space="preserve">Multiplied the </w:t>
            </w:r>
            <w:r w:rsidR="00172059">
              <w:t>'</w:t>
            </w:r>
            <w:r>
              <w:t>Average Cost Across Scenarios</w:t>
            </w:r>
            <w:r w:rsidR="00172059">
              <w:t>'</w:t>
            </w:r>
            <w:r>
              <w:t xml:space="preserve"> by the average number of systems that were replaced in the All-Electric fuel substitution scenario. The previous costs only account for a single technology. This calculation accounts for the fact that some homes have multiple gas measures eligible for fuel substitution.  </w:t>
            </w:r>
          </w:p>
        </w:tc>
      </w:tr>
    </w:tbl>
    <w:p w14:paraId="06ACB47C" w14:textId="77777777" w:rsidR="008A05EF" w:rsidRDefault="008A05EF" w:rsidP="00945EFE">
      <w:pPr>
        <w:spacing w:before="240"/>
      </w:pPr>
    </w:p>
    <w:p w14:paraId="17FE731F" w14:textId="79354781" w:rsidR="00E06617" w:rsidRPr="009F4D9C" w:rsidRDefault="00E06617" w:rsidP="00945EFE">
      <w:pPr>
        <w:spacing w:before="240"/>
      </w:pPr>
      <w:r>
        <w:fldChar w:fldCharType="begin"/>
      </w:r>
      <w:r>
        <w:instrText xml:space="preserve"> REF _Ref156370425 \h </w:instrText>
      </w:r>
      <w:r>
        <w:fldChar w:fldCharType="separate"/>
      </w:r>
      <w:r w:rsidR="004C1D58">
        <w:t xml:space="preserve">Table </w:t>
      </w:r>
      <w:r w:rsidR="004C1D58">
        <w:rPr>
          <w:noProof/>
        </w:rPr>
        <w:t>2</w:t>
      </w:r>
      <w:r>
        <w:fldChar w:fldCharType="end"/>
      </w:r>
      <w:r>
        <w:t xml:space="preserve"> presents the nonresidential fuel substitution scenario and cost mapping.</w:t>
      </w:r>
    </w:p>
    <w:p w14:paraId="3A8DCDBA" w14:textId="6980A7D6" w:rsidR="006D5256" w:rsidRDefault="006D5256" w:rsidP="006D5256">
      <w:pPr>
        <w:pStyle w:val="Caption"/>
        <w:spacing w:before="240"/>
      </w:pPr>
      <w:bookmarkStart w:id="1" w:name="_Ref156370425"/>
      <w:r>
        <w:t xml:space="preserve">Table </w:t>
      </w:r>
      <w:r>
        <w:fldChar w:fldCharType="begin"/>
      </w:r>
      <w:r>
        <w:instrText xml:space="preserve"> SEQ Table \* ARABIC </w:instrText>
      </w:r>
      <w:r>
        <w:fldChar w:fldCharType="separate"/>
      </w:r>
      <w:r w:rsidR="004C1D58">
        <w:rPr>
          <w:noProof/>
        </w:rPr>
        <w:t>2</w:t>
      </w:r>
      <w:r>
        <w:rPr>
          <w:noProof/>
        </w:rPr>
        <w:fldChar w:fldCharType="end"/>
      </w:r>
      <w:bookmarkEnd w:id="1"/>
      <w:r>
        <w:t xml:space="preserve">. </w:t>
      </w:r>
      <w:r w:rsidR="00E06617">
        <w:t xml:space="preserve">Nonresidential </w:t>
      </w:r>
      <w:r>
        <w:t>Fuel Substitution Scenario and Cost Mapping</w:t>
      </w:r>
    </w:p>
    <w:tbl>
      <w:tblPr>
        <w:tblStyle w:val="ODCBasic-1"/>
        <w:tblW w:w="0" w:type="auto"/>
        <w:tblLayout w:type="fixed"/>
        <w:tblCellMar>
          <w:top w:w="0" w:type="dxa"/>
          <w:bottom w:w="14" w:type="dxa"/>
        </w:tblCellMar>
        <w:tblLook w:val="04A0" w:firstRow="1" w:lastRow="0" w:firstColumn="1" w:lastColumn="0" w:noHBand="0" w:noVBand="1"/>
      </w:tblPr>
      <w:tblGrid>
        <w:gridCol w:w="3695"/>
        <w:gridCol w:w="6570"/>
      </w:tblGrid>
      <w:tr w:rsidR="006D5256" w14:paraId="15BA3ED8" w14:textId="77777777" w:rsidTr="00E1158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95" w:type="dxa"/>
            <w:tcBorders>
              <w:bottom w:val="single" w:sz="4" w:space="0" w:color="auto"/>
              <w:right w:val="single" w:sz="4" w:space="0" w:color="4A4D56" w:themeColor="text1"/>
            </w:tcBorders>
          </w:tcPr>
          <w:p w14:paraId="6D1A2DFC" w14:textId="4E35D152" w:rsidR="006D5256" w:rsidRPr="00625570" w:rsidRDefault="007F0E30" w:rsidP="00E11585">
            <w:pPr>
              <w:pStyle w:val="TableHeadingLeft"/>
            </w:pPr>
            <w:r>
              <w:t>Fuel Substitution Measure Scenario and Cost Components</w:t>
            </w:r>
          </w:p>
        </w:tc>
        <w:tc>
          <w:tcPr>
            <w:tcW w:w="6570" w:type="dxa"/>
            <w:tcBorders>
              <w:left w:val="single" w:sz="4" w:space="0" w:color="4A4D56" w:themeColor="text1"/>
              <w:bottom w:val="single" w:sz="4" w:space="0" w:color="auto"/>
            </w:tcBorders>
          </w:tcPr>
          <w:p w14:paraId="20631F73" w14:textId="77777777" w:rsidR="006D5256" w:rsidRPr="00625570" w:rsidRDefault="006D5256" w:rsidP="00E11585">
            <w:pPr>
              <w:pStyle w:val="TableHeadingCentered"/>
              <w:cnfStyle w:val="100000000000" w:firstRow="1" w:lastRow="0" w:firstColumn="0" w:lastColumn="0" w:oddVBand="0" w:evenVBand="0" w:oddHBand="0" w:evenHBand="0" w:firstRowFirstColumn="0" w:firstRowLastColumn="0" w:lastRowFirstColumn="0" w:lastRowLastColumn="0"/>
            </w:pPr>
            <w:r w:rsidRPr="00625570">
              <w:t>Column</w:t>
            </w:r>
          </w:p>
        </w:tc>
      </w:tr>
      <w:tr w:rsidR="006D5256" w14:paraId="5BBAA0EF" w14:textId="77777777" w:rsidTr="00E115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4A4D56" w:themeColor="text1"/>
              <w:left w:val="single" w:sz="4" w:space="0" w:color="4A4D56" w:themeColor="text1"/>
              <w:bottom w:val="single" w:sz="4" w:space="0" w:color="4A4D56" w:themeColor="text1"/>
              <w:right w:val="nil"/>
            </w:tcBorders>
            <w:shd w:val="clear" w:color="auto" w:fill="78CBED" w:themeFill="accent3" w:themeFillTint="99"/>
          </w:tcPr>
          <w:p w14:paraId="2509A38F" w14:textId="723AB359" w:rsidR="006D5256" w:rsidRPr="00F07CA1" w:rsidRDefault="00ED77C1" w:rsidP="00E11585">
            <w:pPr>
              <w:pStyle w:val="TableLeftText"/>
              <w:rPr>
                <w:rFonts w:asciiTheme="majorHAnsi" w:hAnsiTheme="majorHAnsi"/>
                <w:color w:val="FFFFFF" w:themeColor="background1"/>
              </w:rPr>
            </w:pPr>
            <w:r>
              <w:rPr>
                <w:rFonts w:asciiTheme="majorHAnsi" w:hAnsiTheme="majorHAnsi"/>
              </w:rPr>
              <w:t xml:space="preserve">Space </w:t>
            </w:r>
            <w:r w:rsidR="006D5256">
              <w:rPr>
                <w:rFonts w:asciiTheme="majorHAnsi" w:hAnsiTheme="majorHAnsi"/>
              </w:rPr>
              <w:t>Heating Only</w:t>
            </w:r>
          </w:p>
        </w:tc>
        <w:tc>
          <w:tcPr>
            <w:tcW w:w="6570" w:type="dxa"/>
            <w:tcBorders>
              <w:top w:val="single" w:sz="4" w:space="0" w:color="4A4D56" w:themeColor="text1"/>
              <w:left w:val="nil"/>
              <w:bottom w:val="single" w:sz="4" w:space="0" w:color="4A4D56" w:themeColor="text1"/>
              <w:right w:val="single" w:sz="4" w:space="0" w:color="4A4D56" w:themeColor="text1"/>
            </w:tcBorders>
            <w:shd w:val="clear" w:color="auto" w:fill="78CBED" w:themeFill="accent3" w:themeFillTint="99"/>
          </w:tcPr>
          <w:p w14:paraId="7DD47C89" w14:textId="77777777" w:rsidR="006D5256" w:rsidRPr="0053336D" w:rsidRDefault="006D5256" w:rsidP="00E11585">
            <w:pPr>
              <w:pStyle w:val="TableLeft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rPr>
            </w:pPr>
          </w:p>
        </w:tc>
      </w:tr>
      <w:tr w:rsidR="006D5256" w14:paraId="4139DA8B" w14:textId="77777777" w:rsidTr="00E1158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4A4D56" w:themeColor="text1"/>
              <w:left w:val="single" w:sz="4" w:space="0" w:color="auto"/>
              <w:bottom w:val="single" w:sz="4" w:space="0" w:color="auto"/>
              <w:right w:val="single" w:sz="4" w:space="0" w:color="auto"/>
            </w:tcBorders>
          </w:tcPr>
          <w:p w14:paraId="21BCD2C2" w14:textId="77777777" w:rsidR="006D5256" w:rsidRDefault="006D5256" w:rsidP="00E11585">
            <w:pPr>
              <w:pStyle w:val="TableLeftText"/>
            </w:pPr>
            <w:r>
              <w:lastRenderedPageBreak/>
              <w:t>Simple Connection Infrastructure Costs</w:t>
            </w:r>
          </w:p>
        </w:tc>
        <w:tc>
          <w:tcPr>
            <w:tcW w:w="6570" w:type="dxa"/>
            <w:tcBorders>
              <w:top w:val="single" w:sz="4" w:space="0" w:color="4A4D56" w:themeColor="text1"/>
              <w:left w:val="single" w:sz="4" w:space="0" w:color="auto"/>
              <w:bottom w:val="single" w:sz="4" w:space="0" w:color="auto"/>
              <w:right w:val="single" w:sz="4" w:space="0" w:color="auto"/>
            </w:tcBorders>
          </w:tcPr>
          <w:p w14:paraId="63EE1F76" w14:textId="58FC9D4D" w:rsidR="006D5256" w:rsidRPr="00625570" w:rsidRDefault="008A05EF" w:rsidP="00E11585">
            <w:pPr>
              <w:pStyle w:val="TableCenterText"/>
              <w:jc w:val="left"/>
              <w:cnfStyle w:val="000000010000" w:firstRow="0" w:lastRow="0" w:firstColumn="0" w:lastColumn="0" w:oddVBand="0" w:evenVBand="0" w:oddHBand="0" w:evenHBand="1" w:firstRowFirstColumn="0" w:firstRowLastColumn="0" w:lastRowFirstColumn="0" w:lastRowLastColumn="0"/>
            </w:pPr>
            <w:r>
              <w:t xml:space="preserve">The mean cost from the </w:t>
            </w:r>
            <w:r w:rsidR="00172059">
              <w:t>'</w:t>
            </w:r>
            <w:r>
              <w:t xml:space="preserve">Packaged AC/Gas Furnace to Packed </w:t>
            </w:r>
            <w:r w:rsidR="008530C3">
              <w:t>Heat Pump (</w:t>
            </w:r>
            <w:r>
              <w:t>HP</w:t>
            </w:r>
            <w:r w:rsidR="008530C3">
              <w:t>)</w:t>
            </w:r>
            <w:r>
              <w:t xml:space="preserve"> with Electric Resistance Back-up</w:t>
            </w:r>
            <w:r w:rsidR="00172059">
              <w:t>'</w:t>
            </w:r>
            <w:r>
              <w:t xml:space="preserve"> scenario was applied, which</w:t>
            </w:r>
            <w:r w:rsidR="006D5256">
              <w:t xml:space="preserve"> included connecting the heat pump to the panel. </w:t>
            </w:r>
          </w:p>
        </w:tc>
      </w:tr>
      <w:tr w:rsidR="006D5256" w14:paraId="32A8A649" w14:textId="77777777" w:rsidTr="00E115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6381D6D1" w14:textId="77777777" w:rsidR="006D5256" w:rsidRDefault="006D5256" w:rsidP="00E11585">
            <w:pPr>
              <w:pStyle w:val="TableLeftText"/>
            </w:pPr>
            <w:r>
              <w:t>Panel Upgrade Infrastructure Costs</w:t>
            </w:r>
          </w:p>
        </w:tc>
        <w:tc>
          <w:tcPr>
            <w:tcW w:w="6570" w:type="dxa"/>
            <w:tcBorders>
              <w:top w:val="single" w:sz="4" w:space="0" w:color="auto"/>
              <w:left w:val="single" w:sz="4" w:space="0" w:color="auto"/>
              <w:bottom w:val="single" w:sz="4" w:space="0" w:color="auto"/>
              <w:right w:val="single" w:sz="4" w:space="0" w:color="auto"/>
            </w:tcBorders>
          </w:tcPr>
          <w:p w14:paraId="0482430A" w14:textId="77777777" w:rsidR="006D5256" w:rsidRDefault="006D5256" w:rsidP="006D5256">
            <w:pPr>
              <w:pStyle w:val="TableCenterText"/>
              <w:jc w:val="left"/>
              <w:cnfStyle w:val="000000100000" w:firstRow="0" w:lastRow="0" w:firstColumn="0" w:lastColumn="0" w:oddVBand="0" w:evenVBand="0" w:oddHBand="1" w:evenHBand="0" w:firstRowFirstColumn="0" w:firstRowLastColumn="0" w:lastRowFirstColumn="0" w:lastRowLastColumn="0"/>
            </w:pPr>
            <w:r>
              <w:t>Averaged the following mean costs from the electrician scenario results:</w:t>
            </w:r>
          </w:p>
          <w:p w14:paraId="14529A12" w14:textId="5DDD50D9" w:rsidR="006D5256" w:rsidRDefault="006D5256" w:rsidP="006D5256">
            <w:pPr>
              <w:pStyle w:val="TableBullet"/>
              <w:cnfStyle w:val="000000100000" w:firstRow="0" w:lastRow="0" w:firstColumn="0" w:lastColumn="0" w:oddVBand="0" w:evenVBand="0" w:oddHBand="1" w:evenHBand="0" w:firstRowFirstColumn="0" w:firstRowLastColumn="0" w:lastRowFirstColumn="0" w:lastRowLastColumn="0"/>
            </w:pPr>
            <w:r>
              <w:t xml:space="preserve"> </w:t>
            </w:r>
            <w:r w:rsidR="00172059">
              <w:t>'</w:t>
            </w:r>
            <w:r>
              <w:t>Packaged AC/Gas Furnace to Packed HP with Electric Resistance Back-up</w:t>
            </w:r>
            <w:r w:rsidR="00172059">
              <w:t>'</w:t>
            </w:r>
            <w:r>
              <w:t xml:space="preserve"> – install </w:t>
            </w:r>
            <w:r w:rsidR="008A05EF">
              <w:t xml:space="preserve">a </w:t>
            </w:r>
            <w:r>
              <w:t>600-amp panel, connect ASHP to panel</w:t>
            </w:r>
          </w:p>
          <w:p w14:paraId="3FED6A4C" w14:textId="2B1EBE8C" w:rsidR="006D5256" w:rsidRDefault="00172059" w:rsidP="006D5256">
            <w:pPr>
              <w:pStyle w:val="TableBullet"/>
              <w:cnfStyle w:val="000000100000" w:firstRow="0" w:lastRow="0" w:firstColumn="0" w:lastColumn="0" w:oddVBand="0" w:evenVBand="0" w:oddHBand="1" w:evenHBand="0" w:firstRowFirstColumn="0" w:firstRowLastColumn="0" w:lastRowFirstColumn="0" w:lastRowLastColumn="0"/>
            </w:pPr>
            <w:r>
              <w:t>'</w:t>
            </w:r>
            <w:r w:rsidR="006D5256">
              <w:t>60-gallon gas DHW to 80-gallon HPWH</w:t>
            </w:r>
            <w:r>
              <w:t>'</w:t>
            </w:r>
            <w:r w:rsidR="006D5256">
              <w:t xml:space="preserve"> – install 400-amp panel, 240v circuit and disconnect, connect HPWH to panel</w:t>
            </w:r>
          </w:p>
          <w:p w14:paraId="071B0558" w14:textId="10E780F5" w:rsidR="006D5256" w:rsidRPr="00625570" w:rsidRDefault="006D5256" w:rsidP="006D5256">
            <w:pPr>
              <w:pStyle w:val="TableCenterText"/>
              <w:jc w:val="left"/>
              <w:cnfStyle w:val="000000100000" w:firstRow="0" w:lastRow="0" w:firstColumn="0" w:lastColumn="0" w:oddVBand="0" w:evenVBand="0" w:oddHBand="1" w:evenHBand="0" w:firstRowFirstColumn="0" w:firstRowLastColumn="0" w:lastRowFirstColumn="0" w:lastRowLastColumn="0"/>
            </w:pPr>
            <w:r>
              <w:t xml:space="preserve">The water heater scenario was added to account for a 400-amp panel upgrade, not just a 600-amp panel upgrade. </w:t>
            </w:r>
          </w:p>
        </w:tc>
      </w:tr>
      <w:tr w:rsidR="006D5256" w14:paraId="43109B81" w14:textId="77777777" w:rsidTr="00E1158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4A4D56" w:themeColor="text1"/>
              <w:right w:val="single" w:sz="4" w:space="0" w:color="auto"/>
            </w:tcBorders>
          </w:tcPr>
          <w:p w14:paraId="0B000388" w14:textId="77777777" w:rsidR="006D5256" w:rsidRPr="00625570" w:rsidRDefault="006D5256" w:rsidP="00E11585">
            <w:pPr>
              <w:pStyle w:val="TableLeftText"/>
            </w:pPr>
            <w:r>
              <w:t>Panel Optimization Infrastructure Costs</w:t>
            </w:r>
          </w:p>
        </w:tc>
        <w:tc>
          <w:tcPr>
            <w:tcW w:w="6570" w:type="dxa"/>
            <w:tcBorders>
              <w:top w:val="single" w:sz="4" w:space="0" w:color="auto"/>
              <w:left w:val="single" w:sz="4" w:space="0" w:color="auto"/>
              <w:bottom w:val="single" w:sz="4" w:space="0" w:color="4A4D56" w:themeColor="text1"/>
              <w:right w:val="single" w:sz="4" w:space="0" w:color="auto"/>
            </w:tcBorders>
          </w:tcPr>
          <w:p w14:paraId="1A94370D" w14:textId="2F3A8F59" w:rsidR="006D5256" w:rsidRPr="00625570" w:rsidRDefault="006D5256" w:rsidP="00E11585">
            <w:pPr>
              <w:pStyle w:val="TableCenterText"/>
              <w:jc w:val="left"/>
              <w:cnfStyle w:val="000000010000" w:firstRow="0" w:lastRow="0" w:firstColumn="0" w:lastColumn="0" w:oddVBand="0" w:evenVBand="0" w:oddHBand="0" w:evenHBand="1" w:firstRowFirstColumn="0" w:firstRowLastColumn="0" w:lastRowFirstColumn="0" w:lastRowLastColumn="0"/>
            </w:pPr>
            <w:r>
              <w:t xml:space="preserve">Added the </w:t>
            </w:r>
            <w:r w:rsidR="00172059">
              <w:t>'</w:t>
            </w:r>
            <w:r>
              <w:t>Simple Connection Infrastructure Costs</w:t>
            </w:r>
            <w:r w:rsidR="00172059">
              <w:t>'</w:t>
            </w:r>
            <w:r>
              <w:t xml:space="preserve"> to the average price of a sub-panel installation. Sub-panels were the predominant approach for panel optimization</w:t>
            </w:r>
            <w:r w:rsidR="008A05EF">
              <w:t>,</w:t>
            </w:r>
            <w:r>
              <w:t xml:space="preserve"> according to electricians. </w:t>
            </w:r>
          </w:p>
        </w:tc>
      </w:tr>
      <w:tr w:rsidR="006D5256" w14:paraId="69D16A42" w14:textId="77777777" w:rsidTr="00E115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4A4D56" w:themeColor="text1"/>
              <w:right w:val="single" w:sz="4" w:space="0" w:color="auto"/>
            </w:tcBorders>
          </w:tcPr>
          <w:p w14:paraId="6F2A7D07" w14:textId="77777777" w:rsidR="006D5256" w:rsidRDefault="006D5256" w:rsidP="00E11585">
            <w:pPr>
              <w:pStyle w:val="TableLeftText"/>
            </w:pPr>
            <w:r>
              <w:t>Average Cost Across Scenarios</w:t>
            </w:r>
          </w:p>
        </w:tc>
        <w:tc>
          <w:tcPr>
            <w:tcW w:w="6570" w:type="dxa"/>
            <w:tcBorders>
              <w:top w:val="single" w:sz="4" w:space="0" w:color="auto"/>
              <w:left w:val="single" w:sz="4" w:space="0" w:color="auto"/>
              <w:bottom w:val="single" w:sz="4" w:space="0" w:color="4A4D56" w:themeColor="text1"/>
              <w:right w:val="single" w:sz="4" w:space="0" w:color="auto"/>
            </w:tcBorders>
          </w:tcPr>
          <w:p w14:paraId="4C0B553A" w14:textId="32CDB535" w:rsidR="006D5256" w:rsidRPr="00625570" w:rsidRDefault="008A05EF" w:rsidP="00E11585">
            <w:pPr>
              <w:pStyle w:val="TableCenterText"/>
              <w:jc w:val="left"/>
              <w:cnfStyle w:val="000000100000" w:firstRow="0" w:lastRow="0" w:firstColumn="0" w:lastColumn="0" w:oddVBand="0" w:evenVBand="0" w:oddHBand="1" w:evenHBand="0" w:firstRowFirstColumn="0" w:firstRowLastColumn="0" w:lastRowFirstColumn="0" w:lastRowLastColumn="0"/>
            </w:pPr>
            <w:r>
              <w:t>The results of the scenarios listed above were weighted</w:t>
            </w:r>
            <w:r w:rsidR="006D5256">
              <w:t xml:space="preserve"> based on their frequency from the scenario analysis.</w:t>
            </w:r>
          </w:p>
        </w:tc>
      </w:tr>
      <w:tr w:rsidR="006D5256" w14:paraId="180E7AB1" w14:textId="77777777" w:rsidTr="00E1158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4A4D56" w:themeColor="text1"/>
              <w:right w:val="single" w:sz="4" w:space="0" w:color="auto"/>
            </w:tcBorders>
          </w:tcPr>
          <w:p w14:paraId="21E65E2A" w14:textId="77777777" w:rsidR="006D5256" w:rsidRDefault="006D5256" w:rsidP="00E11585">
            <w:pPr>
              <w:pStyle w:val="TableLeftText"/>
            </w:pPr>
            <w:r>
              <w:t>Total Costs – All Applicable Units</w:t>
            </w:r>
          </w:p>
        </w:tc>
        <w:tc>
          <w:tcPr>
            <w:tcW w:w="6570" w:type="dxa"/>
            <w:tcBorders>
              <w:top w:val="single" w:sz="4" w:space="0" w:color="auto"/>
              <w:left w:val="single" w:sz="4" w:space="0" w:color="auto"/>
              <w:bottom w:val="single" w:sz="4" w:space="0" w:color="4A4D56" w:themeColor="text1"/>
              <w:right w:val="single" w:sz="4" w:space="0" w:color="auto"/>
            </w:tcBorders>
          </w:tcPr>
          <w:p w14:paraId="1DB73239" w14:textId="68BB71B9" w:rsidR="006D5256" w:rsidRPr="00625570" w:rsidRDefault="006D5256" w:rsidP="00E11585">
            <w:pPr>
              <w:pStyle w:val="TableCenterText"/>
              <w:jc w:val="left"/>
              <w:cnfStyle w:val="000000010000" w:firstRow="0" w:lastRow="0" w:firstColumn="0" w:lastColumn="0" w:oddVBand="0" w:evenVBand="0" w:oddHBand="0" w:evenHBand="1" w:firstRowFirstColumn="0" w:firstRowLastColumn="0" w:lastRowFirstColumn="0" w:lastRowLastColumn="0"/>
            </w:pPr>
            <w:r>
              <w:t xml:space="preserve">Multiplied the </w:t>
            </w:r>
            <w:r w:rsidR="00172059">
              <w:t>'</w:t>
            </w:r>
            <w:r>
              <w:t>Average Cost Across Scenarios</w:t>
            </w:r>
            <w:r w:rsidR="00172059">
              <w:t>'</w:t>
            </w:r>
            <w:r>
              <w:t xml:space="preserve"> by the average number of systems that were replaced in the heating</w:t>
            </w:r>
            <w:r w:rsidR="008A05EF">
              <w:t>-</w:t>
            </w:r>
            <w:r>
              <w:t xml:space="preserve">only fuel substitution scenario. The previous costs only account for a single heating fuel substitution measure. This calculation accounts for the fact that some </w:t>
            </w:r>
            <w:r w:rsidR="001155B7">
              <w:t>buildings</w:t>
            </w:r>
            <w:r>
              <w:t xml:space="preserve"> have multiple heating systems that are eligible for fuel substitution.  </w:t>
            </w:r>
          </w:p>
        </w:tc>
      </w:tr>
      <w:tr w:rsidR="006D5256" w14:paraId="51385E9A" w14:textId="77777777" w:rsidTr="00E115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4A4D56" w:themeColor="text1"/>
              <w:left w:val="single" w:sz="4" w:space="0" w:color="4A4D56" w:themeColor="text1"/>
              <w:bottom w:val="single" w:sz="4" w:space="0" w:color="4A4D56" w:themeColor="text1"/>
              <w:right w:val="nil"/>
            </w:tcBorders>
            <w:shd w:val="clear" w:color="auto" w:fill="B1B4D9" w:themeFill="accent4" w:themeFillTint="99"/>
          </w:tcPr>
          <w:p w14:paraId="7E85A4CD" w14:textId="77777777" w:rsidR="006D5256" w:rsidRPr="00625570" w:rsidRDefault="006D5256" w:rsidP="00E11585">
            <w:pPr>
              <w:pStyle w:val="TableLeftText"/>
              <w:rPr>
                <w:sz w:val="18"/>
                <w:szCs w:val="18"/>
              </w:rPr>
            </w:pPr>
            <w:r>
              <w:rPr>
                <w:rFonts w:asciiTheme="majorHAnsi" w:hAnsiTheme="majorHAnsi"/>
              </w:rPr>
              <w:t>DHW Only</w:t>
            </w:r>
          </w:p>
        </w:tc>
        <w:tc>
          <w:tcPr>
            <w:tcW w:w="6570" w:type="dxa"/>
            <w:tcBorders>
              <w:top w:val="single" w:sz="4" w:space="0" w:color="4A4D56" w:themeColor="text1"/>
              <w:left w:val="nil"/>
              <w:bottom w:val="single" w:sz="4" w:space="0" w:color="4A4D56" w:themeColor="text1"/>
              <w:right w:val="single" w:sz="4" w:space="0" w:color="4A4D56" w:themeColor="text1"/>
            </w:tcBorders>
            <w:shd w:val="clear" w:color="auto" w:fill="B1B4D9" w:themeFill="accent4" w:themeFillTint="99"/>
          </w:tcPr>
          <w:p w14:paraId="681037C5" w14:textId="77777777" w:rsidR="006D5256" w:rsidRPr="0053336D" w:rsidRDefault="006D5256" w:rsidP="00E11585">
            <w:pPr>
              <w:pStyle w:val="TableLeft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6D5256" w14:paraId="0F51CB11" w14:textId="77777777" w:rsidTr="00E1158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4A4D56" w:themeColor="text1"/>
              <w:left w:val="single" w:sz="4" w:space="0" w:color="auto"/>
              <w:bottom w:val="single" w:sz="4" w:space="0" w:color="auto"/>
              <w:right w:val="single" w:sz="4" w:space="0" w:color="auto"/>
            </w:tcBorders>
          </w:tcPr>
          <w:p w14:paraId="7A921235" w14:textId="77777777" w:rsidR="006D5256" w:rsidRDefault="006D5256" w:rsidP="00E11585">
            <w:pPr>
              <w:pStyle w:val="TableLeftText"/>
            </w:pPr>
            <w:r>
              <w:t>Simple Connection Infrastructure Costs</w:t>
            </w:r>
          </w:p>
        </w:tc>
        <w:tc>
          <w:tcPr>
            <w:tcW w:w="6570" w:type="dxa"/>
            <w:tcBorders>
              <w:top w:val="single" w:sz="4" w:space="0" w:color="4A4D56" w:themeColor="text1"/>
              <w:left w:val="single" w:sz="4" w:space="0" w:color="auto"/>
              <w:bottom w:val="single" w:sz="4" w:space="0" w:color="auto"/>
              <w:right w:val="single" w:sz="4" w:space="0" w:color="auto"/>
            </w:tcBorders>
          </w:tcPr>
          <w:p w14:paraId="50D17A68" w14:textId="7D3A140E" w:rsidR="006D5256" w:rsidRPr="00625570" w:rsidRDefault="00E65352" w:rsidP="00E11585">
            <w:pPr>
              <w:pStyle w:val="TableCenterText"/>
              <w:jc w:val="left"/>
              <w:cnfStyle w:val="000000010000" w:firstRow="0" w:lastRow="0" w:firstColumn="0" w:lastColumn="0" w:oddVBand="0" w:evenVBand="0" w:oddHBand="0" w:evenHBand="1" w:firstRowFirstColumn="0" w:firstRowLastColumn="0" w:lastRowFirstColumn="0" w:lastRowLastColumn="0"/>
            </w:pPr>
            <w:r>
              <w:t xml:space="preserve">Applied the mean cost from the </w:t>
            </w:r>
            <w:r w:rsidR="00172059">
              <w:t>'</w:t>
            </w:r>
            <w:r>
              <w:t>60-gallon gas DHW to 80-gallon HPWH</w:t>
            </w:r>
            <w:r w:rsidR="00172059">
              <w:t>'</w:t>
            </w:r>
            <w:r>
              <w:t xml:space="preserve"> scenario that included installing a 240v circuit and disconnect</w:t>
            </w:r>
            <w:r w:rsidR="008A05EF">
              <w:t xml:space="preserve"> and</w:t>
            </w:r>
            <w:r>
              <w:t xml:space="preserve"> connecting the HPWH to the panel.</w:t>
            </w:r>
          </w:p>
        </w:tc>
      </w:tr>
      <w:tr w:rsidR="006D5256" w14:paraId="2BA6B541" w14:textId="77777777" w:rsidTr="00E115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4FE7F223" w14:textId="77777777" w:rsidR="006D5256" w:rsidRPr="00625570" w:rsidRDefault="006D5256" w:rsidP="00E11585">
            <w:pPr>
              <w:pStyle w:val="TableLeftText"/>
            </w:pPr>
            <w:r>
              <w:t>Panel Upgrade Infrastructure Costs</w:t>
            </w:r>
          </w:p>
        </w:tc>
        <w:tc>
          <w:tcPr>
            <w:tcW w:w="6570" w:type="dxa"/>
            <w:tcBorders>
              <w:top w:val="single" w:sz="4" w:space="0" w:color="auto"/>
              <w:left w:val="single" w:sz="4" w:space="0" w:color="auto"/>
              <w:bottom w:val="single" w:sz="4" w:space="0" w:color="auto"/>
              <w:right w:val="single" w:sz="4" w:space="0" w:color="auto"/>
            </w:tcBorders>
          </w:tcPr>
          <w:p w14:paraId="73759338" w14:textId="77777777" w:rsidR="00E65352" w:rsidRDefault="00E65352" w:rsidP="00E65352">
            <w:pPr>
              <w:pStyle w:val="TableCenterText"/>
              <w:jc w:val="left"/>
              <w:cnfStyle w:val="000000100000" w:firstRow="0" w:lastRow="0" w:firstColumn="0" w:lastColumn="0" w:oddVBand="0" w:evenVBand="0" w:oddHBand="1" w:evenHBand="0" w:firstRowFirstColumn="0" w:firstRowLastColumn="0" w:lastRowFirstColumn="0" w:lastRowLastColumn="0"/>
            </w:pPr>
            <w:r>
              <w:t>Averaged the following mean costs from the electrician scenario results:</w:t>
            </w:r>
          </w:p>
          <w:p w14:paraId="4654DCB3" w14:textId="39919C24" w:rsidR="00E65352" w:rsidRDefault="00172059" w:rsidP="00E65352">
            <w:pPr>
              <w:pStyle w:val="TableBullet"/>
              <w:cnfStyle w:val="000000100000" w:firstRow="0" w:lastRow="0" w:firstColumn="0" w:lastColumn="0" w:oddVBand="0" w:evenVBand="0" w:oddHBand="1" w:evenHBand="0" w:firstRowFirstColumn="0" w:firstRowLastColumn="0" w:lastRowFirstColumn="0" w:lastRowLastColumn="0"/>
            </w:pPr>
            <w:r>
              <w:t>'</w:t>
            </w:r>
            <w:r w:rsidR="00E65352">
              <w:t>60-gallon gas DHW to 80-gallon HPWH</w:t>
            </w:r>
            <w:r>
              <w:t>'</w:t>
            </w:r>
            <w:r w:rsidR="00E65352">
              <w:t xml:space="preserve"> – install 400-amp panel, 240v circuit and disconnect, connect HPWH to panel</w:t>
            </w:r>
          </w:p>
          <w:p w14:paraId="009DCC73" w14:textId="163C833E" w:rsidR="00E65352" w:rsidRDefault="00E65352" w:rsidP="00E65352">
            <w:pPr>
              <w:pStyle w:val="TableBullet"/>
              <w:cnfStyle w:val="000000100000" w:firstRow="0" w:lastRow="0" w:firstColumn="0" w:lastColumn="0" w:oddVBand="0" w:evenVBand="0" w:oddHBand="1" w:evenHBand="0" w:firstRowFirstColumn="0" w:firstRowLastColumn="0" w:lastRowFirstColumn="0" w:lastRowLastColumn="0"/>
            </w:pPr>
            <w:r>
              <w:t xml:space="preserve"> </w:t>
            </w:r>
            <w:r w:rsidR="00172059">
              <w:t>'</w:t>
            </w:r>
            <w:r>
              <w:t>Packaged AC/Gas Furnace to Packed HP with Electric Resistance Back-up</w:t>
            </w:r>
            <w:r w:rsidR="00172059">
              <w:t>'</w:t>
            </w:r>
            <w:r>
              <w:t xml:space="preserve"> – install </w:t>
            </w:r>
            <w:r w:rsidR="008A05EF">
              <w:t xml:space="preserve">a </w:t>
            </w:r>
            <w:r>
              <w:t>600-amp panel, connect ASHP to panel</w:t>
            </w:r>
          </w:p>
          <w:p w14:paraId="104113F1" w14:textId="099BB942" w:rsidR="006D5256" w:rsidRPr="00625570" w:rsidRDefault="00E65352" w:rsidP="00E65352">
            <w:pPr>
              <w:pStyle w:val="TableCenterText"/>
              <w:jc w:val="left"/>
              <w:cnfStyle w:val="000000100000" w:firstRow="0" w:lastRow="0" w:firstColumn="0" w:lastColumn="0" w:oddVBand="0" w:evenVBand="0" w:oddHBand="1" w:evenHBand="0" w:firstRowFirstColumn="0" w:firstRowLastColumn="0" w:lastRowFirstColumn="0" w:lastRowLastColumn="0"/>
            </w:pPr>
            <w:r>
              <w:t>The heating scenario was added to account for a 600-amp panel upgrade, not just a 400-amp panel upgrade.</w:t>
            </w:r>
          </w:p>
        </w:tc>
      </w:tr>
      <w:tr w:rsidR="006D5256" w14:paraId="77F1B43B" w14:textId="77777777" w:rsidTr="00E1158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4A4D56" w:themeColor="text1"/>
              <w:right w:val="single" w:sz="4" w:space="0" w:color="auto"/>
            </w:tcBorders>
          </w:tcPr>
          <w:p w14:paraId="35845B00" w14:textId="77777777" w:rsidR="006D5256" w:rsidRPr="009E5640" w:rsidRDefault="006D5256" w:rsidP="00E11585">
            <w:pPr>
              <w:pStyle w:val="TableLeftText"/>
              <w:rPr>
                <w:rFonts w:asciiTheme="minorHAnsi" w:hAnsiTheme="minorHAnsi"/>
              </w:rPr>
            </w:pPr>
            <w:r>
              <w:t>Panel Optimization Infrastructure Costs</w:t>
            </w:r>
          </w:p>
        </w:tc>
        <w:tc>
          <w:tcPr>
            <w:tcW w:w="6570" w:type="dxa"/>
            <w:tcBorders>
              <w:top w:val="single" w:sz="4" w:space="0" w:color="auto"/>
              <w:left w:val="single" w:sz="4" w:space="0" w:color="auto"/>
              <w:bottom w:val="single" w:sz="4" w:space="0" w:color="4A4D56" w:themeColor="text1"/>
              <w:right w:val="single" w:sz="4" w:space="0" w:color="auto"/>
            </w:tcBorders>
          </w:tcPr>
          <w:p w14:paraId="31A3E76B" w14:textId="22F4E986" w:rsidR="006D5256" w:rsidRPr="009E5640" w:rsidRDefault="006D5256" w:rsidP="00E11585">
            <w:pPr>
              <w:pStyle w:val="TableCenterText"/>
              <w:jc w:val="left"/>
              <w:cnfStyle w:val="000000010000" w:firstRow="0" w:lastRow="0" w:firstColumn="0" w:lastColumn="0" w:oddVBand="0" w:evenVBand="0" w:oddHBand="0" w:evenHBand="1" w:firstRowFirstColumn="0" w:firstRowLastColumn="0" w:lastRowFirstColumn="0" w:lastRowLastColumn="0"/>
              <w:rPr>
                <w:rFonts w:asciiTheme="minorHAnsi" w:hAnsiTheme="minorHAnsi"/>
                <w:highlight w:val="yellow"/>
              </w:rPr>
            </w:pPr>
            <w:r>
              <w:t xml:space="preserve">Added the </w:t>
            </w:r>
            <w:r w:rsidR="00172059">
              <w:t>'</w:t>
            </w:r>
            <w:r>
              <w:t>Simple Connection Infrastructure Costs</w:t>
            </w:r>
            <w:r w:rsidR="00172059">
              <w:t>'</w:t>
            </w:r>
            <w:r>
              <w:t xml:space="preserve"> to the average price of a sub-panel installation. Sub-panels were the predominant approach for panel optimization</w:t>
            </w:r>
            <w:r w:rsidR="008A05EF">
              <w:t>,</w:t>
            </w:r>
            <w:r>
              <w:t xml:space="preserve"> according to electricians. </w:t>
            </w:r>
          </w:p>
        </w:tc>
      </w:tr>
      <w:tr w:rsidR="006D5256" w14:paraId="4A49AAF5" w14:textId="77777777" w:rsidTr="00E115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4A4D56" w:themeColor="text1"/>
              <w:right w:val="single" w:sz="4" w:space="0" w:color="auto"/>
            </w:tcBorders>
          </w:tcPr>
          <w:p w14:paraId="0E9C3CC3" w14:textId="77777777" w:rsidR="006D5256" w:rsidRDefault="006D5256" w:rsidP="00E11585">
            <w:pPr>
              <w:pStyle w:val="TableLeftText"/>
            </w:pPr>
            <w:r>
              <w:t>Average Cost Across Scenarios</w:t>
            </w:r>
          </w:p>
        </w:tc>
        <w:tc>
          <w:tcPr>
            <w:tcW w:w="6570" w:type="dxa"/>
            <w:tcBorders>
              <w:top w:val="single" w:sz="4" w:space="0" w:color="auto"/>
              <w:left w:val="single" w:sz="4" w:space="0" w:color="auto"/>
              <w:bottom w:val="single" w:sz="4" w:space="0" w:color="4A4D56" w:themeColor="text1"/>
              <w:right w:val="single" w:sz="4" w:space="0" w:color="auto"/>
            </w:tcBorders>
          </w:tcPr>
          <w:p w14:paraId="1AD3CC19" w14:textId="77AB7A22" w:rsidR="006D5256" w:rsidRPr="009E5640" w:rsidRDefault="008A05EF" w:rsidP="00E11585">
            <w:pPr>
              <w:pStyle w:val="TableCenter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highlight w:val="yellow"/>
              </w:rPr>
            </w:pPr>
            <w:r>
              <w:t>The results of the scenarios listed above were weighted</w:t>
            </w:r>
            <w:r w:rsidR="006D5256">
              <w:t xml:space="preserve"> based on their frequency from the scenario analysis.</w:t>
            </w:r>
          </w:p>
        </w:tc>
      </w:tr>
      <w:tr w:rsidR="006D5256" w14:paraId="56D4793E" w14:textId="77777777" w:rsidTr="00E1158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4A4D56" w:themeColor="text1"/>
              <w:right w:val="single" w:sz="4" w:space="0" w:color="auto"/>
            </w:tcBorders>
          </w:tcPr>
          <w:p w14:paraId="0730449C" w14:textId="77777777" w:rsidR="006D5256" w:rsidRDefault="006D5256" w:rsidP="00E11585">
            <w:pPr>
              <w:pStyle w:val="TableLeftText"/>
            </w:pPr>
            <w:r>
              <w:t>Total Costs – All Applicable Units</w:t>
            </w:r>
          </w:p>
        </w:tc>
        <w:tc>
          <w:tcPr>
            <w:tcW w:w="6570" w:type="dxa"/>
            <w:tcBorders>
              <w:top w:val="single" w:sz="4" w:space="0" w:color="auto"/>
              <w:left w:val="single" w:sz="4" w:space="0" w:color="auto"/>
              <w:bottom w:val="single" w:sz="4" w:space="0" w:color="4A4D56" w:themeColor="text1"/>
              <w:right w:val="single" w:sz="4" w:space="0" w:color="auto"/>
            </w:tcBorders>
          </w:tcPr>
          <w:p w14:paraId="61C4D2B6" w14:textId="7BFE039C" w:rsidR="006D5256" w:rsidRPr="009E5640" w:rsidRDefault="006D5256" w:rsidP="00E11585">
            <w:pPr>
              <w:pStyle w:val="TableCenterText"/>
              <w:jc w:val="left"/>
              <w:cnfStyle w:val="000000010000" w:firstRow="0" w:lastRow="0" w:firstColumn="0" w:lastColumn="0" w:oddVBand="0" w:evenVBand="0" w:oddHBand="0" w:evenHBand="1" w:firstRowFirstColumn="0" w:firstRowLastColumn="0" w:lastRowFirstColumn="0" w:lastRowLastColumn="0"/>
              <w:rPr>
                <w:rFonts w:asciiTheme="minorHAnsi" w:hAnsiTheme="minorHAnsi"/>
                <w:highlight w:val="yellow"/>
              </w:rPr>
            </w:pPr>
            <w:r>
              <w:t xml:space="preserve">Multiplied the </w:t>
            </w:r>
            <w:r w:rsidR="00172059">
              <w:t>'</w:t>
            </w:r>
            <w:r>
              <w:t>Average Cost Across Scenarios</w:t>
            </w:r>
            <w:r w:rsidR="00172059">
              <w:t>'</w:t>
            </w:r>
            <w:r>
              <w:t xml:space="preserve"> by the average number of systems that were replaced in the DHW</w:t>
            </w:r>
            <w:r w:rsidR="008A05EF">
              <w:t>-</w:t>
            </w:r>
            <w:r>
              <w:t xml:space="preserve">only fuel substitution scenario. The previous costs only account for a single water heating fuel substitution measure. This calculation accounts for the fact that some </w:t>
            </w:r>
            <w:r w:rsidR="001155B7">
              <w:t>buildings</w:t>
            </w:r>
            <w:r>
              <w:t xml:space="preserve"> have multiple water heating systems that are eligible for fuel substitution.  </w:t>
            </w:r>
          </w:p>
        </w:tc>
      </w:tr>
      <w:tr w:rsidR="006D5256" w14:paraId="6CD99EBF" w14:textId="77777777" w:rsidTr="00E115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4A4D56" w:themeColor="text1"/>
              <w:left w:val="single" w:sz="4" w:space="0" w:color="4A4D56" w:themeColor="text1"/>
              <w:bottom w:val="single" w:sz="4" w:space="0" w:color="4A4D56" w:themeColor="text1"/>
              <w:right w:val="nil"/>
            </w:tcBorders>
            <w:shd w:val="clear" w:color="auto" w:fill="FFCB8C" w:themeFill="accent6" w:themeFillShade="E6"/>
          </w:tcPr>
          <w:p w14:paraId="303C134B" w14:textId="4744788B" w:rsidR="006D5256" w:rsidRPr="009E5640" w:rsidRDefault="00ED77C1" w:rsidP="00E11585">
            <w:pPr>
              <w:pStyle w:val="TableLeftTextMedium"/>
              <w:rPr>
                <w:rFonts w:asciiTheme="minorHAnsi" w:hAnsiTheme="minorHAnsi"/>
                <w:sz w:val="18"/>
                <w:szCs w:val="18"/>
                <w:highlight w:val="yellow"/>
              </w:rPr>
            </w:pPr>
            <w:r>
              <w:t xml:space="preserve">Space </w:t>
            </w:r>
            <w:r w:rsidR="006D5256">
              <w:t>Heating and DHW</w:t>
            </w:r>
          </w:p>
        </w:tc>
        <w:tc>
          <w:tcPr>
            <w:tcW w:w="6570" w:type="dxa"/>
            <w:tcBorders>
              <w:top w:val="single" w:sz="4" w:space="0" w:color="4A4D56" w:themeColor="text1"/>
              <w:left w:val="nil"/>
              <w:bottom w:val="single" w:sz="4" w:space="0" w:color="4A4D56" w:themeColor="text1"/>
              <w:right w:val="single" w:sz="4" w:space="0" w:color="4A4D56" w:themeColor="text1"/>
            </w:tcBorders>
            <w:shd w:val="clear" w:color="auto" w:fill="FFCB8C" w:themeFill="accent6" w:themeFillShade="E6"/>
          </w:tcPr>
          <w:p w14:paraId="0BBD00F0" w14:textId="77777777" w:rsidR="006D5256" w:rsidRPr="0053336D" w:rsidRDefault="006D5256" w:rsidP="00E11585">
            <w:pPr>
              <w:pStyle w:val="TableLeftTextMedium"/>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6D5256" w14:paraId="197D70A1" w14:textId="77777777" w:rsidTr="00E1158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4A4D56" w:themeColor="text1"/>
              <w:left w:val="single" w:sz="4" w:space="0" w:color="auto"/>
              <w:bottom w:val="single" w:sz="4" w:space="0" w:color="auto"/>
              <w:right w:val="single" w:sz="4" w:space="0" w:color="auto"/>
            </w:tcBorders>
          </w:tcPr>
          <w:p w14:paraId="73AC01FD" w14:textId="77777777" w:rsidR="006D5256" w:rsidRDefault="006D5256" w:rsidP="00E11585">
            <w:pPr>
              <w:pStyle w:val="TableLeftText"/>
            </w:pPr>
            <w:r>
              <w:t>Simple Connection Infrastructure Costs</w:t>
            </w:r>
          </w:p>
        </w:tc>
        <w:tc>
          <w:tcPr>
            <w:tcW w:w="6570" w:type="dxa"/>
            <w:tcBorders>
              <w:top w:val="single" w:sz="4" w:space="0" w:color="4A4D56" w:themeColor="text1"/>
              <w:left w:val="single" w:sz="4" w:space="0" w:color="auto"/>
              <w:bottom w:val="single" w:sz="4" w:space="0" w:color="auto"/>
              <w:right w:val="single" w:sz="4" w:space="0" w:color="auto"/>
            </w:tcBorders>
          </w:tcPr>
          <w:p w14:paraId="28D549D0" w14:textId="2560DC62" w:rsidR="006D5256" w:rsidRPr="009E5640" w:rsidRDefault="001A6BAF" w:rsidP="00E11585">
            <w:pPr>
              <w:pStyle w:val="TableCenterText"/>
              <w:jc w:val="left"/>
              <w:cnfStyle w:val="000000010000" w:firstRow="0" w:lastRow="0" w:firstColumn="0" w:lastColumn="0" w:oddVBand="0" w:evenVBand="0" w:oddHBand="0" w:evenHBand="1" w:firstRowFirstColumn="0" w:firstRowLastColumn="0" w:lastRowFirstColumn="0" w:lastRowLastColumn="0"/>
              <w:rPr>
                <w:highlight w:val="yellow"/>
              </w:rPr>
            </w:pPr>
            <w:r>
              <w:t xml:space="preserve">Applied the mean cost from the </w:t>
            </w:r>
            <w:r w:rsidR="00172059">
              <w:t>'</w:t>
            </w:r>
            <w:r>
              <w:t>Forced Air Gas Fired Furnace AND 60-gallon DHW to ASHP and 80-gallon HPWH</w:t>
            </w:r>
            <w:r w:rsidR="00172059">
              <w:t>'</w:t>
            </w:r>
            <w:r>
              <w:t xml:space="preserve"> scenario that included installing a circuit and disconnect</w:t>
            </w:r>
            <w:r w:rsidR="008A05EF">
              <w:t xml:space="preserve"> and</w:t>
            </w:r>
            <w:r>
              <w:t xml:space="preserve"> connecting the HPWH and ASHP to the panel.</w:t>
            </w:r>
          </w:p>
        </w:tc>
      </w:tr>
      <w:tr w:rsidR="006D5256" w14:paraId="621AA1EF" w14:textId="77777777" w:rsidTr="00E115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7C568F93" w14:textId="77777777" w:rsidR="006D5256" w:rsidRDefault="006D5256" w:rsidP="00E11585">
            <w:pPr>
              <w:pStyle w:val="TableLeftText"/>
            </w:pPr>
            <w:r>
              <w:t>Panel Upgrade Infrastructure Costs</w:t>
            </w:r>
          </w:p>
        </w:tc>
        <w:tc>
          <w:tcPr>
            <w:tcW w:w="6570" w:type="dxa"/>
            <w:tcBorders>
              <w:top w:val="single" w:sz="4" w:space="0" w:color="auto"/>
              <w:left w:val="single" w:sz="4" w:space="0" w:color="auto"/>
              <w:bottom w:val="single" w:sz="4" w:space="0" w:color="auto"/>
              <w:right w:val="single" w:sz="4" w:space="0" w:color="auto"/>
            </w:tcBorders>
          </w:tcPr>
          <w:p w14:paraId="1FCEF85C" w14:textId="642B8EC0" w:rsidR="006D5256" w:rsidRPr="009E5640" w:rsidRDefault="001A6BAF" w:rsidP="00E11585">
            <w:pPr>
              <w:pStyle w:val="TableCenterText"/>
              <w:jc w:val="left"/>
              <w:cnfStyle w:val="000000100000" w:firstRow="0" w:lastRow="0" w:firstColumn="0" w:lastColumn="0" w:oddVBand="0" w:evenVBand="0" w:oddHBand="1" w:evenHBand="0" w:firstRowFirstColumn="0" w:firstRowLastColumn="0" w:lastRowFirstColumn="0" w:lastRowLastColumn="0"/>
              <w:rPr>
                <w:highlight w:val="yellow"/>
              </w:rPr>
            </w:pPr>
            <w:r>
              <w:t xml:space="preserve">Applied the mean cost from the </w:t>
            </w:r>
            <w:r w:rsidR="00172059">
              <w:t>'</w:t>
            </w:r>
            <w:r>
              <w:t>Forced Air Gas Fired Furnace AND 60-gallon DHW to ASHP and 80-gallon HPWH</w:t>
            </w:r>
            <w:r w:rsidR="00172059">
              <w:t>'</w:t>
            </w:r>
            <w:r>
              <w:t xml:space="preserve"> scenario that included installing </w:t>
            </w:r>
            <w:r w:rsidR="008A05EF">
              <w:t xml:space="preserve">a </w:t>
            </w:r>
            <w:r>
              <w:t>400-amp panel, a circuit and disconnect, as well as connecting the HPWH and ASHP to the panel.</w:t>
            </w:r>
          </w:p>
        </w:tc>
      </w:tr>
      <w:tr w:rsidR="006D5256" w14:paraId="44765760" w14:textId="77777777" w:rsidTr="00E1158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32C336BA" w14:textId="77777777" w:rsidR="006D5256" w:rsidRDefault="006D5256" w:rsidP="00E11585">
            <w:pPr>
              <w:pStyle w:val="TableLeftText"/>
            </w:pPr>
            <w:r>
              <w:t>Panel Optimization Infrastructure Costs</w:t>
            </w:r>
          </w:p>
        </w:tc>
        <w:tc>
          <w:tcPr>
            <w:tcW w:w="6570" w:type="dxa"/>
            <w:tcBorders>
              <w:top w:val="single" w:sz="4" w:space="0" w:color="auto"/>
              <w:left w:val="single" w:sz="4" w:space="0" w:color="auto"/>
              <w:bottom w:val="single" w:sz="4" w:space="0" w:color="auto"/>
              <w:right w:val="single" w:sz="4" w:space="0" w:color="auto"/>
            </w:tcBorders>
          </w:tcPr>
          <w:p w14:paraId="06173C70" w14:textId="1E2677C6" w:rsidR="006D5256" w:rsidRPr="009E5640" w:rsidRDefault="006D5256" w:rsidP="00E11585">
            <w:pPr>
              <w:pStyle w:val="TableCenterText"/>
              <w:jc w:val="left"/>
              <w:cnfStyle w:val="000000010000" w:firstRow="0" w:lastRow="0" w:firstColumn="0" w:lastColumn="0" w:oddVBand="0" w:evenVBand="0" w:oddHBand="0" w:evenHBand="1" w:firstRowFirstColumn="0" w:firstRowLastColumn="0" w:lastRowFirstColumn="0" w:lastRowLastColumn="0"/>
              <w:rPr>
                <w:highlight w:val="yellow"/>
              </w:rPr>
            </w:pPr>
            <w:r>
              <w:t xml:space="preserve">Added the </w:t>
            </w:r>
            <w:r w:rsidR="00172059">
              <w:t>'</w:t>
            </w:r>
            <w:r>
              <w:t>Simple Connection Infrastructure Costs</w:t>
            </w:r>
            <w:r w:rsidR="00172059">
              <w:t>'</w:t>
            </w:r>
            <w:r>
              <w:t xml:space="preserve"> to the average price of a sub-panel installation. Sub-panels were the predominant approach for panel optimization</w:t>
            </w:r>
            <w:r w:rsidR="008A05EF">
              <w:t>,</w:t>
            </w:r>
            <w:r>
              <w:t xml:space="preserve"> according to electricians. </w:t>
            </w:r>
          </w:p>
        </w:tc>
      </w:tr>
      <w:tr w:rsidR="006D5256" w14:paraId="24FF0D96" w14:textId="77777777" w:rsidTr="00E115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0B02CAAE" w14:textId="77777777" w:rsidR="006D5256" w:rsidRDefault="006D5256" w:rsidP="00E11585">
            <w:pPr>
              <w:pStyle w:val="TableLeftText"/>
            </w:pPr>
            <w:r>
              <w:t>Average Cost Across Scenarios</w:t>
            </w:r>
          </w:p>
        </w:tc>
        <w:tc>
          <w:tcPr>
            <w:tcW w:w="6570" w:type="dxa"/>
            <w:tcBorders>
              <w:top w:val="single" w:sz="4" w:space="0" w:color="auto"/>
              <w:left w:val="single" w:sz="4" w:space="0" w:color="auto"/>
              <w:bottom w:val="single" w:sz="4" w:space="0" w:color="auto"/>
              <w:right w:val="single" w:sz="4" w:space="0" w:color="auto"/>
            </w:tcBorders>
          </w:tcPr>
          <w:p w14:paraId="05262FA9" w14:textId="3E4F8222" w:rsidR="006D5256" w:rsidRPr="009E5640" w:rsidRDefault="008A05EF" w:rsidP="00E11585">
            <w:pPr>
              <w:pStyle w:val="TableCenterText"/>
              <w:jc w:val="left"/>
              <w:cnfStyle w:val="000000100000" w:firstRow="0" w:lastRow="0" w:firstColumn="0" w:lastColumn="0" w:oddVBand="0" w:evenVBand="0" w:oddHBand="1" w:evenHBand="0" w:firstRowFirstColumn="0" w:firstRowLastColumn="0" w:lastRowFirstColumn="0" w:lastRowLastColumn="0"/>
              <w:rPr>
                <w:highlight w:val="yellow"/>
              </w:rPr>
            </w:pPr>
            <w:r>
              <w:t>The results of the scenarios listed above were weighted</w:t>
            </w:r>
            <w:r w:rsidR="006D5256">
              <w:t xml:space="preserve"> based on their frequency from the scenario analysis.</w:t>
            </w:r>
          </w:p>
        </w:tc>
      </w:tr>
      <w:tr w:rsidR="006D5256" w14:paraId="054893B5" w14:textId="77777777" w:rsidTr="006D525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67B8E6E4" w14:textId="77777777" w:rsidR="006D5256" w:rsidRDefault="006D5256" w:rsidP="00E11585">
            <w:pPr>
              <w:pStyle w:val="TableLeftText"/>
            </w:pPr>
            <w:r>
              <w:t>Total Costs – All Applicable Units</w:t>
            </w:r>
          </w:p>
        </w:tc>
        <w:tc>
          <w:tcPr>
            <w:tcW w:w="6570" w:type="dxa"/>
            <w:tcBorders>
              <w:top w:val="single" w:sz="4" w:space="0" w:color="auto"/>
              <w:left w:val="single" w:sz="4" w:space="0" w:color="auto"/>
              <w:bottom w:val="single" w:sz="4" w:space="0" w:color="auto"/>
              <w:right w:val="single" w:sz="4" w:space="0" w:color="auto"/>
            </w:tcBorders>
          </w:tcPr>
          <w:p w14:paraId="3B7EA9E5" w14:textId="25E3DA66" w:rsidR="006D5256" w:rsidRPr="009E5640" w:rsidRDefault="006D5256" w:rsidP="00E11585">
            <w:pPr>
              <w:pStyle w:val="TableCenterText"/>
              <w:jc w:val="left"/>
              <w:cnfStyle w:val="000000010000" w:firstRow="0" w:lastRow="0" w:firstColumn="0" w:lastColumn="0" w:oddVBand="0" w:evenVBand="0" w:oddHBand="0" w:evenHBand="1" w:firstRowFirstColumn="0" w:firstRowLastColumn="0" w:lastRowFirstColumn="0" w:lastRowLastColumn="0"/>
              <w:rPr>
                <w:highlight w:val="yellow"/>
              </w:rPr>
            </w:pPr>
            <w:r>
              <w:t xml:space="preserve">Multiplied the </w:t>
            </w:r>
            <w:r w:rsidR="00172059">
              <w:t>'</w:t>
            </w:r>
            <w:r>
              <w:t>Average Cost Across Scenarios</w:t>
            </w:r>
            <w:r w:rsidR="00172059">
              <w:t>'</w:t>
            </w:r>
            <w:r>
              <w:t xml:space="preserve"> by the average number of systems that were replaced in the Heating and DHW fuel substitution scenario. The previous costs only account for a single HPWH and ASHP, respectively. This calculation accounts for the fact that some </w:t>
            </w:r>
            <w:r w:rsidR="001155B7">
              <w:t>buildings</w:t>
            </w:r>
            <w:r>
              <w:t xml:space="preserve"> have </w:t>
            </w:r>
            <w:r>
              <w:lastRenderedPageBreak/>
              <w:t xml:space="preserve">multiple heating or water heating systems that are eligible for fuel substitution.  </w:t>
            </w:r>
          </w:p>
        </w:tc>
      </w:tr>
      <w:tr w:rsidR="006D5256" w14:paraId="1957372D" w14:textId="77777777" w:rsidTr="006D525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nil"/>
            </w:tcBorders>
            <w:shd w:val="clear" w:color="auto" w:fill="A5DCF3" w:themeFill="accent3" w:themeFillTint="66"/>
          </w:tcPr>
          <w:p w14:paraId="0EDB4E17" w14:textId="4B733C0D" w:rsidR="006D5256" w:rsidRPr="006D5256" w:rsidRDefault="006D5256" w:rsidP="006D5256">
            <w:pPr>
              <w:pStyle w:val="TableLeftTextMedium"/>
              <w:rPr>
                <w:b/>
                <w:bCs/>
              </w:rPr>
            </w:pPr>
            <w:r w:rsidRPr="006D5256">
              <w:lastRenderedPageBreak/>
              <w:t>Cooking</w:t>
            </w:r>
          </w:p>
        </w:tc>
        <w:tc>
          <w:tcPr>
            <w:tcW w:w="6570" w:type="dxa"/>
            <w:tcBorders>
              <w:top w:val="single" w:sz="4" w:space="0" w:color="auto"/>
              <w:left w:val="nil"/>
              <w:bottom w:val="single" w:sz="4" w:space="0" w:color="auto"/>
              <w:right w:val="single" w:sz="4" w:space="0" w:color="auto"/>
            </w:tcBorders>
            <w:shd w:val="clear" w:color="auto" w:fill="A5DCF3" w:themeFill="accent3" w:themeFillTint="66"/>
          </w:tcPr>
          <w:p w14:paraId="0E4F7564" w14:textId="77777777" w:rsidR="006D5256" w:rsidRDefault="006D5256" w:rsidP="006D5256">
            <w:pPr>
              <w:pStyle w:val="TableCenterText"/>
              <w:jc w:val="left"/>
              <w:cnfStyle w:val="000000100000" w:firstRow="0" w:lastRow="0" w:firstColumn="0" w:lastColumn="0" w:oddVBand="0" w:evenVBand="0" w:oddHBand="1" w:evenHBand="0" w:firstRowFirstColumn="0" w:firstRowLastColumn="0" w:lastRowFirstColumn="0" w:lastRowLastColumn="0"/>
            </w:pPr>
          </w:p>
        </w:tc>
      </w:tr>
      <w:tr w:rsidR="006D5256" w14:paraId="6D22C0DB" w14:textId="77777777" w:rsidTr="00E1158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41EC7584" w14:textId="44070A30" w:rsidR="006D5256" w:rsidRDefault="006D5256" w:rsidP="006D5256">
            <w:pPr>
              <w:pStyle w:val="TableLeftText"/>
            </w:pPr>
            <w:r>
              <w:t>Simple Connection Infrastructure Costs</w:t>
            </w:r>
          </w:p>
        </w:tc>
        <w:tc>
          <w:tcPr>
            <w:tcW w:w="6570" w:type="dxa"/>
            <w:tcBorders>
              <w:top w:val="single" w:sz="4" w:space="0" w:color="auto"/>
              <w:left w:val="single" w:sz="4" w:space="0" w:color="auto"/>
              <w:bottom w:val="single" w:sz="4" w:space="0" w:color="auto"/>
              <w:right w:val="single" w:sz="4" w:space="0" w:color="auto"/>
            </w:tcBorders>
          </w:tcPr>
          <w:p w14:paraId="7F120D4A" w14:textId="77777777" w:rsidR="001155B7" w:rsidRDefault="001155B7" w:rsidP="001155B7">
            <w:pPr>
              <w:pStyle w:val="TableCenterText"/>
              <w:jc w:val="left"/>
              <w:cnfStyle w:val="000000010000" w:firstRow="0" w:lastRow="0" w:firstColumn="0" w:lastColumn="0" w:oddVBand="0" w:evenVBand="0" w:oddHBand="0" w:evenHBand="1" w:firstRowFirstColumn="0" w:firstRowLastColumn="0" w:lastRowFirstColumn="0" w:lastRowLastColumn="0"/>
            </w:pPr>
            <w:r>
              <w:t>Averaged the following mean costs from the electrician scenario results:</w:t>
            </w:r>
          </w:p>
          <w:p w14:paraId="7294BD33" w14:textId="018919CA" w:rsidR="001155B7" w:rsidRDefault="00172059" w:rsidP="001155B7">
            <w:pPr>
              <w:pStyle w:val="TableBullet"/>
              <w:cnfStyle w:val="000000010000" w:firstRow="0" w:lastRow="0" w:firstColumn="0" w:lastColumn="0" w:oddVBand="0" w:evenVBand="0" w:oddHBand="0" w:evenHBand="1" w:firstRowFirstColumn="0" w:firstRowLastColumn="0" w:lastRowFirstColumn="0" w:lastRowLastColumn="0"/>
            </w:pPr>
            <w:r>
              <w:t>'</w:t>
            </w:r>
            <w:r w:rsidR="001155B7">
              <w:t>Gas Fryer to Electric Fryer</w:t>
            </w:r>
            <w:r>
              <w:t>'</w:t>
            </w:r>
            <w:r w:rsidR="001155B7">
              <w:t xml:space="preserve"> – Add circuit, disconnect, connect fryer to panel</w:t>
            </w:r>
          </w:p>
          <w:p w14:paraId="27651D53" w14:textId="08781EB7" w:rsidR="006D5256" w:rsidRPr="001155B7" w:rsidRDefault="00172059" w:rsidP="006D5256">
            <w:pPr>
              <w:pStyle w:val="TableBullet"/>
              <w:cnfStyle w:val="000000010000" w:firstRow="0" w:lastRow="0" w:firstColumn="0" w:lastColumn="0" w:oddVBand="0" w:evenVBand="0" w:oddHBand="0" w:evenHBand="1" w:firstRowFirstColumn="0" w:firstRowLastColumn="0" w:lastRowFirstColumn="0" w:lastRowLastColumn="0"/>
            </w:pPr>
            <w:r>
              <w:t>'</w:t>
            </w:r>
            <w:r w:rsidR="001155B7">
              <w:t>Gas Oven to Electric Oven</w:t>
            </w:r>
            <w:r>
              <w:t>'</w:t>
            </w:r>
            <w:r w:rsidR="001155B7">
              <w:t xml:space="preserve"> – Add circuit, disconnect, connect fryer to panel</w:t>
            </w:r>
          </w:p>
        </w:tc>
      </w:tr>
      <w:tr w:rsidR="001155B7" w14:paraId="5DE7F97D" w14:textId="77777777" w:rsidTr="00E115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694D8B3D" w14:textId="5D1EAD0D" w:rsidR="001155B7" w:rsidRDefault="001155B7" w:rsidP="001155B7">
            <w:pPr>
              <w:pStyle w:val="TableLeftText"/>
            </w:pPr>
            <w:r>
              <w:t>Panel Upgrade Infrastructure Costs</w:t>
            </w:r>
          </w:p>
        </w:tc>
        <w:tc>
          <w:tcPr>
            <w:tcW w:w="6570" w:type="dxa"/>
            <w:tcBorders>
              <w:top w:val="single" w:sz="4" w:space="0" w:color="auto"/>
              <w:left w:val="single" w:sz="4" w:space="0" w:color="auto"/>
              <w:bottom w:val="single" w:sz="4" w:space="0" w:color="auto"/>
              <w:right w:val="single" w:sz="4" w:space="0" w:color="auto"/>
            </w:tcBorders>
          </w:tcPr>
          <w:p w14:paraId="051150F8" w14:textId="77777777" w:rsidR="001155B7" w:rsidRDefault="001155B7" w:rsidP="001155B7">
            <w:pPr>
              <w:pStyle w:val="TableCenterText"/>
              <w:jc w:val="left"/>
              <w:cnfStyle w:val="000000100000" w:firstRow="0" w:lastRow="0" w:firstColumn="0" w:lastColumn="0" w:oddVBand="0" w:evenVBand="0" w:oddHBand="1" w:evenHBand="0" w:firstRowFirstColumn="0" w:firstRowLastColumn="0" w:lastRowFirstColumn="0" w:lastRowLastColumn="0"/>
            </w:pPr>
            <w:r>
              <w:t>Averaged the following mean costs from the electrician scenario results:</w:t>
            </w:r>
          </w:p>
          <w:p w14:paraId="6C337C58" w14:textId="07FED864" w:rsidR="001155B7" w:rsidRDefault="00172059" w:rsidP="001155B7">
            <w:pPr>
              <w:pStyle w:val="TableBullet"/>
              <w:cnfStyle w:val="000000100000" w:firstRow="0" w:lastRow="0" w:firstColumn="0" w:lastColumn="0" w:oddVBand="0" w:evenVBand="0" w:oddHBand="1" w:evenHBand="0" w:firstRowFirstColumn="0" w:firstRowLastColumn="0" w:lastRowFirstColumn="0" w:lastRowLastColumn="0"/>
            </w:pPr>
            <w:r>
              <w:t>'</w:t>
            </w:r>
            <w:r w:rsidR="001155B7">
              <w:t>Gas Fryer to Electric Fryer</w:t>
            </w:r>
            <w:r>
              <w:t>'</w:t>
            </w:r>
            <w:r w:rsidR="001155B7">
              <w:t xml:space="preserve"> – Install 400-amp panel, add circuit, disconnect, connect fryer to panel</w:t>
            </w:r>
          </w:p>
          <w:p w14:paraId="5EE3A2C3" w14:textId="3B548BC9" w:rsidR="001155B7" w:rsidRPr="001155B7" w:rsidRDefault="00172059" w:rsidP="001155B7">
            <w:pPr>
              <w:pStyle w:val="TableBullet"/>
              <w:cnfStyle w:val="000000100000" w:firstRow="0" w:lastRow="0" w:firstColumn="0" w:lastColumn="0" w:oddVBand="0" w:evenVBand="0" w:oddHBand="1" w:evenHBand="0" w:firstRowFirstColumn="0" w:firstRowLastColumn="0" w:lastRowFirstColumn="0" w:lastRowLastColumn="0"/>
            </w:pPr>
            <w:r>
              <w:t>'</w:t>
            </w:r>
            <w:r w:rsidR="001155B7" w:rsidRPr="001155B7">
              <w:t>Gas Oven to Electric Oven</w:t>
            </w:r>
            <w:r>
              <w:t>'</w:t>
            </w:r>
            <w:r w:rsidR="001155B7" w:rsidRPr="001155B7">
              <w:t xml:space="preserve"> – </w:t>
            </w:r>
            <w:r w:rsidR="001155B7">
              <w:t>Install 600-amp panel, a</w:t>
            </w:r>
            <w:r w:rsidR="001155B7" w:rsidRPr="001155B7">
              <w:t>dd circuit, disconnect, connect fryer to panel</w:t>
            </w:r>
          </w:p>
        </w:tc>
      </w:tr>
      <w:tr w:rsidR="001155B7" w14:paraId="4C005DAC" w14:textId="77777777" w:rsidTr="00E1158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275B2AC5" w14:textId="7CE1AED9" w:rsidR="001155B7" w:rsidRDefault="001155B7" w:rsidP="001155B7">
            <w:pPr>
              <w:pStyle w:val="TableLeftText"/>
            </w:pPr>
            <w:r>
              <w:t>Panel Optimization Infrastructure Costs</w:t>
            </w:r>
          </w:p>
        </w:tc>
        <w:tc>
          <w:tcPr>
            <w:tcW w:w="6570" w:type="dxa"/>
            <w:tcBorders>
              <w:top w:val="single" w:sz="4" w:space="0" w:color="auto"/>
              <w:left w:val="single" w:sz="4" w:space="0" w:color="auto"/>
              <w:bottom w:val="single" w:sz="4" w:space="0" w:color="auto"/>
              <w:right w:val="single" w:sz="4" w:space="0" w:color="auto"/>
            </w:tcBorders>
          </w:tcPr>
          <w:p w14:paraId="6F8492CB" w14:textId="31B672E6" w:rsidR="001155B7" w:rsidRDefault="001155B7" w:rsidP="001155B7">
            <w:pPr>
              <w:pStyle w:val="TableCenterText"/>
              <w:jc w:val="left"/>
              <w:cnfStyle w:val="000000010000" w:firstRow="0" w:lastRow="0" w:firstColumn="0" w:lastColumn="0" w:oddVBand="0" w:evenVBand="0" w:oddHBand="0" w:evenHBand="1" w:firstRowFirstColumn="0" w:firstRowLastColumn="0" w:lastRowFirstColumn="0" w:lastRowLastColumn="0"/>
            </w:pPr>
            <w:r>
              <w:t xml:space="preserve">Added the </w:t>
            </w:r>
            <w:r w:rsidR="00172059">
              <w:t>'</w:t>
            </w:r>
            <w:r>
              <w:t>Simple Connection Infrastructure Costs</w:t>
            </w:r>
            <w:r w:rsidR="00172059">
              <w:t>'</w:t>
            </w:r>
            <w:r>
              <w:t xml:space="preserve"> to the average price of a sub-panel installation. Sub-panels were the predominant approach for panel optimization</w:t>
            </w:r>
            <w:r w:rsidR="008A05EF">
              <w:t>,</w:t>
            </w:r>
            <w:r>
              <w:t xml:space="preserve"> according to electricians. </w:t>
            </w:r>
          </w:p>
        </w:tc>
      </w:tr>
      <w:tr w:rsidR="001155B7" w14:paraId="0B4F498B" w14:textId="77777777" w:rsidTr="00E115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451666ED" w14:textId="78FDC6F2" w:rsidR="001155B7" w:rsidRDefault="001155B7" w:rsidP="001155B7">
            <w:pPr>
              <w:pStyle w:val="TableLeftText"/>
            </w:pPr>
            <w:r>
              <w:t>Average Cost Across Scenarios</w:t>
            </w:r>
          </w:p>
        </w:tc>
        <w:tc>
          <w:tcPr>
            <w:tcW w:w="6570" w:type="dxa"/>
            <w:tcBorders>
              <w:top w:val="single" w:sz="4" w:space="0" w:color="auto"/>
              <w:left w:val="single" w:sz="4" w:space="0" w:color="auto"/>
              <w:bottom w:val="single" w:sz="4" w:space="0" w:color="auto"/>
              <w:right w:val="single" w:sz="4" w:space="0" w:color="auto"/>
            </w:tcBorders>
          </w:tcPr>
          <w:p w14:paraId="07776AF7" w14:textId="20C67DCD" w:rsidR="001155B7" w:rsidRDefault="008A05EF" w:rsidP="001155B7">
            <w:pPr>
              <w:pStyle w:val="TableCenterText"/>
              <w:jc w:val="left"/>
              <w:cnfStyle w:val="000000100000" w:firstRow="0" w:lastRow="0" w:firstColumn="0" w:lastColumn="0" w:oddVBand="0" w:evenVBand="0" w:oddHBand="1" w:evenHBand="0" w:firstRowFirstColumn="0" w:firstRowLastColumn="0" w:lastRowFirstColumn="0" w:lastRowLastColumn="0"/>
            </w:pPr>
            <w:r>
              <w:t>The results of the scenarios listed above were weighted</w:t>
            </w:r>
            <w:r w:rsidR="001155B7">
              <w:t xml:space="preserve"> based on their frequency from the scenario analysis.</w:t>
            </w:r>
          </w:p>
        </w:tc>
      </w:tr>
      <w:tr w:rsidR="001155B7" w14:paraId="65160DE9" w14:textId="77777777" w:rsidTr="00E1158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7BC51BBB" w14:textId="3AC62587" w:rsidR="001155B7" w:rsidRDefault="001155B7" w:rsidP="001155B7">
            <w:pPr>
              <w:pStyle w:val="TableLeftText"/>
            </w:pPr>
            <w:r>
              <w:t>Total Costs – All Applicable Units</w:t>
            </w:r>
          </w:p>
        </w:tc>
        <w:tc>
          <w:tcPr>
            <w:tcW w:w="6570" w:type="dxa"/>
            <w:tcBorders>
              <w:top w:val="single" w:sz="4" w:space="0" w:color="auto"/>
              <w:left w:val="single" w:sz="4" w:space="0" w:color="auto"/>
              <w:bottom w:val="single" w:sz="4" w:space="0" w:color="auto"/>
              <w:right w:val="single" w:sz="4" w:space="0" w:color="auto"/>
            </w:tcBorders>
          </w:tcPr>
          <w:p w14:paraId="53C5C4A7" w14:textId="79B5E673" w:rsidR="001155B7" w:rsidRDefault="001155B7" w:rsidP="001155B7">
            <w:pPr>
              <w:pStyle w:val="TableCenterText"/>
              <w:jc w:val="left"/>
              <w:cnfStyle w:val="000000010000" w:firstRow="0" w:lastRow="0" w:firstColumn="0" w:lastColumn="0" w:oddVBand="0" w:evenVBand="0" w:oddHBand="0" w:evenHBand="1" w:firstRowFirstColumn="0" w:firstRowLastColumn="0" w:lastRowFirstColumn="0" w:lastRowLastColumn="0"/>
            </w:pPr>
            <w:r>
              <w:t xml:space="preserve">Multiplied the </w:t>
            </w:r>
            <w:r w:rsidR="00172059">
              <w:t>'</w:t>
            </w:r>
            <w:r>
              <w:t>Average Cost Across Scenarios</w:t>
            </w:r>
            <w:r w:rsidR="00172059">
              <w:t>'</w:t>
            </w:r>
            <w:r>
              <w:t xml:space="preserve"> by the average number of systems that were replaced in the Cooking fuel substitution scenario. The previous costs only account for a single piece of cooking equipment. This calculation accounts for the fact that some buildings have multiple pieces of cooking equipment eligible for fuel substitution.  </w:t>
            </w:r>
          </w:p>
        </w:tc>
      </w:tr>
      <w:tr w:rsidR="001155B7" w14:paraId="5951A5B1" w14:textId="77777777" w:rsidTr="00E115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nil"/>
            </w:tcBorders>
            <w:shd w:val="clear" w:color="auto" w:fill="809EDC" w:themeFill="accent1" w:themeFillTint="66"/>
          </w:tcPr>
          <w:p w14:paraId="4C572E3E" w14:textId="2E938ABA" w:rsidR="001155B7" w:rsidRDefault="001155B7" w:rsidP="001155B7">
            <w:pPr>
              <w:pStyle w:val="TableLeftTextMedium"/>
            </w:pPr>
            <w:r>
              <w:t>All Electric</w:t>
            </w:r>
            <w:r w:rsidR="007F0E30">
              <w:t xml:space="preserve"> (Convert all FS eligible measures to electric)</w:t>
            </w:r>
          </w:p>
        </w:tc>
        <w:tc>
          <w:tcPr>
            <w:tcW w:w="6570" w:type="dxa"/>
            <w:tcBorders>
              <w:top w:val="single" w:sz="4" w:space="0" w:color="auto"/>
              <w:left w:val="nil"/>
              <w:bottom w:val="single" w:sz="4" w:space="0" w:color="auto"/>
              <w:right w:val="single" w:sz="4" w:space="0" w:color="auto"/>
            </w:tcBorders>
            <w:shd w:val="clear" w:color="auto" w:fill="809EDC" w:themeFill="accent1" w:themeFillTint="66"/>
          </w:tcPr>
          <w:p w14:paraId="4795CFCC" w14:textId="77777777" w:rsidR="001155B7" w:rsidRDefault="001155B7" w:rsidP="001155B7">
            <w:pPr>
              <w:pStyle w:val="TableCenterText"/>
              <w:jc w:val="left"/>
              <w:cnfStyle w:val="000000100000" w:firstRow="0" w:lastRow="0" w:firstColumn="0" w:lastColumn="0" w:oddVBand="0" w:evenVBand="0" w:oddHBand="1" w:evenHBand="0" w:firstRowFirstColumn="0" w:firstRowLastColumn="0" w:lastRowFirstColumn="0" w:lastRowLastColumn="0"/>
            </w:pPr>
          </w:p>
        </w:tc>
      </w:tr>
      <w:tr w:rsidR="00764DDC" w14:paraId="337B8BE1" w14:textId="77777777" w:rsidTr="00E1158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2C4E5650" w14:textId="77777777" w:rsidR="00764DDC" w:rsidRDefault="00764DDC" w:rsidP="00764DDC">
            <w:pPr>
              <w:pStyle w:val="TableLeftText"/>
            </w:pPr>
            <w:r>
              <w:t>Simple Connection Infrastructure Costs</w:t>
            </w:r>
          </w:p>
        </w:tc>
        <w:tc>
          <w:tcPr>
            <w:tcW w:w="6570" w:type="dxa"/>
            <w:tcBorders>
              <w:top w:val="single" w:sz="4" w:space="0" w:color="auto"/>
              <w:left w:val="single" w:sz="4" w:space="0" w:color="auto"/>
              <w:bottom w:val="single" w:sz="4" w:space="0" w:color="auto"/>
              <w:right w:val="single" w:sz="4" w:space="0" w:color="auto"/>
            </w:tcBorders>
          </w:tcPr>
          <w:p w14:paraId="7C55046C" w14:textId="77777777" w:rsidR="00764DDC" w:rsidRDefault="00764DDC" w:rsidP="00764DDC">
            <w:pPr>
              <w:pStyle w:val="TableCenterText"/>
              <w:jc w:val="left"/>
              <w:cnfStyle w:val="000000010000" w:firstRow="0" w:lastRow="0" w:firstColumn="0" w:lastColumn="0" w:oddVBand="0" w:evenVBand="0" w:oddHBand="0" w:evenHBand="1" w:firstRowFirstColumn="0" w:firstRowLastColumn="0" w:lastRowFirstColumn="0" w:lastRowLastColumn="0"/>
            </w:pPr>
            <w:r>
              <w:t>Averaged the following mean costs from the electrician scenario results:</w:t>
            </w:r>
          </w:p>
          <w:p w14:paraId="64979EB7" w14:textId="3321240A" w:rsidR="00764DDC" w:rsidRDefault="00764DDC" w:rsidP="00764DDC">
            <w:pPr>
              <w:pStyle w:val="TableBullet"/>
              <w:cnfStyle w:val="000000010000" w:firstRow="0" w:lastRow="0" w:firstColumn="0" w:lastColumn="0" w:oddVBand="0" w:evenVBand="0" w:oddHBand="0" w:evenHBand="1" w:firstRowFirstColumn="0" w:firstRowLastColumn="0" w:lastRowFirstColumn="0" w:lastRowLastColumn="0"/>
            </w:pPr>
            <w:r>
              <w:t xml:space="preserve"> </w:t>
            </w:r>
            <w:r w:rsidR="00172059">
              <w:t>'</w:t>
            </w:r>
            <w:r>
              <w:t>Packaged AC/Gas Furnace to Packed HP with Electric Resistance Back-up</w:t>
            </w:r>
            <w:r w:rsidR="00172059">
              <w:t>'</w:t>
            </w:r>
            <w:r>
              <w:t xml:space="preserve"> – connect packaged heat pump to panel</w:t>
            </w:r>
          </w:p>
          <w:p w14:paraId="27B0B982" w14:textId="07E57AFD" w:rsidR="00764DDC" w:rsidRDefault="00764DDC" w:rsidP="00764DDC">
            <w:pPr>
              <w:pStyle w:val="TableBullet"/>
              <w:cnfStyle w:val="000000010000" w:firstRow="0" w:lastRow="0" w:firstColumn="0" w:lastColumn="0" w:oddVBand="0" w:evenVBand="0" w:oddHBand="0" w:evenHBand="1" w:firstRowFirstColumn="0" w:firstRowLastColumn="0" w:lastRowFirstColumn="0" w:lastRowLastColumn="0"/>
            </w:pPr>
            <w:r>
              <w:t>60-gallon gas DHW to 80-gallon HPWH</w:t>
            </w:r>
            <w:r w:rsidR="00172059">
              <w:t>'</w:t>
            </w:r>
            <w:r>
              <w:t xml:space="preserve"> – install 240v circuit and disconnect, connect HPWH to panel</w:t>
            </w:r>
          </w:p>
          <w:p w14:paraId="22FDDB5C" w14:textId="37BD2769" w:rsidR="00764DDC" w:rsidRDefault="00172059" w:rsidP="00764DDC">
            <w:pPr>
              <w:pStyle w:val="TableBullet"/>
              <w:cnfStyle w:val="000000010000" w:firstRow="0" w:lastRow="0" w:firstColumn="0" w:lastColumn="0" w:oddVBand="0" w:evenVBand="0" w:oddHBand="0" w:evenHBand="1" w:firstRowFirstColumn="0" w:firstRowLastColumn="0" w:lastRowFirstColumn="0" w:lastRowLastColumn="0"/>
            </w:pPr>
            <w:r>
              <w:t>'</w:t>
            </w:r>
            <w:r w:rsidR="00764DDC">
              <w:t>Gas Fryer to Electric Fryer</w:t>
            </w:r>
            <w:r>
              <w:t>'</w:t>
            </w:r>
            <w:r w:rsidR="00764DDC">
              <w:t xml:space="preserve"> – Add circuit, disconnect, connect fryer to panel</w:t>
            </w:r>
          </w:p>
          <w:p w14:paraId="2EC4158D" w14:textId="0EABD7DC" w:rsidR="00764DDC" w:rsidRDefault="00172059" w:rsidP="00764DDC">
            <w:pPr>
              <w:pStyle w:val="TableBullet"/>
              <w:cnfStyle w:val="000000010000" w:firstRow="0" w:lastRow="0" w:firstColumn="0" w:lastColumn="0" w:oddVBand="0" w:evenVBand="0" w:oddHBand="0" w:evenHBand="1" w:firstRowFirstColumn="0" w:firstRowLastColumn="0" w:lastRowFirstColumn="0" w:lastRowLastColumn="0"/>
            </w:pPr>
            <w:r>
              <w:t>'</w:t>
            </w:r>
            <w:r w:rsidR="00764DDC">
              <w:t>Gas Oven to Electric Oven</w:t>
            </w:r>
            <w:r>
              <w:t>'</w:t>
            </w:r>
            <w:r w:rsidR="00764DDC">
              <w:t xml:space="preserve"> – Add circuit, disconnect, connect fryer to panel</w:t>
            </w:r>
          </w:p>
        </w:tc>
      </w:tr>
      <w:tr w:rsidR="00764DDC" w14:paraId="1C803B73" w14:textId="77777777" w:rsidTr="00E115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25B1FF6C" w14:textId="77777777" w:rsidR="00764DDC" w:rsidRDefault="00764DDC" w:rsidP="00764DDC">
            <w:pPr>
              <w:pStyle w:val="TableLeftText"/>
            </w:pPr>
            <w:r>
              <w:t>Panel Upgrade Infrastructure Costs</w:t>
            </w:r>
          </w:p>
        </w:tc>
        <w:tc>
          <w:tcPr>
            <w:tcW w:w="6570" w:type="dxa"/>
            <w:tcBorders>
              <w:top w:val="single" w:sz="4" w:space="0" w:color="auto"/>
              <w:left w:val="single" w:sz="4" w:space="0" w:color="auto"/>
              <w:bottom w:val="single" w:sz="4" w:space="0" w:color="auto"/>
              <w:right w:val="single" w:sz="4" w:space="0" w:color="auto"/>
            </w:tcBorders>
          </w:tcPr>
          <w:p w14:paraId="53FE005B" w14:textId="77777777" w:rsidR="00764DDC" w:rsidRDefault="00764DDC" w:rsidP="00764DDC">
            <w:pPr>
              <w:pStyle w:val="TableCenterText"/>
              <w:jc w:val="left"/>
              <w:cnfStyle w:val="000000100000" w:firstRow="0" w:lastRow="0" w:firstColumn="0" w:lastColumn="0" w:oddVBand="0" w:evenVBand="0" w:oddHBand="1" w:evenHBand="0" w:firstRowFirstColumn="0" w:firstRowLastColumn="0" w:lastRowFirstColumn="0" w:lastRowLastColumn="0"/>
            </w:pPr>
            <w:r>
              <w:t>Averaged the following mean costs from the electrician scenario results:</w:t>
            </w:r>
          </w:p>
          <w:p w14:paraId="7F2FF935" w14:textId="43720D08" w:rsidR="00764DDC" w:rsidRDefault="00172059" w:rsidP="00764DDC">
            <w:pPr>
              <w:pStyle w:val="TableBullet"/>
              <w:cnfStyle w:val="000000100000" w:firstRow="0" w:lastRow="0" w:firstColumn="0" w:lastColumn="0" w:oddVBand="0" w:evenVBand="0" w:oddHBand="1" w:evenHBand="0" w:firstRowFirstColumn="0" w:firstRowLastColumn="0" w:lastRowFirstColumn="0" w:lastRowLastColumn="0"/>
            </w:pPr>
            <w:r>
              <w:t>'</w:t>
            </w:r>
            <w:r w:rsidR="00764DDC">
              <w:t>Packaged AC/Gas Furnace to Packed HP with Electric Resistance Back-up</w:t>
            </w:r>
            <w:r>
              <w:t>'</w:t>
            </w:r>
            <w:r w:rsidR="00764DDC">
              <w:t xml:space="preserve"> – install </w:t>
            </w:r>
            <w:r w:rsidR="008A05EF">
              <w:t xml:space="preserve">a </w:t>
            </w:r>
            <w:r w:rsidR="00764DDC">
              <w:t>600-amp panel, connect ASHP to panel</w:t>
            </w:r>
          </w:p>
          <w:p w14:paraId="6E785811" w14:textId="3CB14EAC" w:rsidR="00764DDC" w:rsidRDefault="00172059" w:rsidP="00764DDC">
            <w:pPr>
              <w:pStyle w:val="TableBullet"/>
              <w:cnfStyle w:val="000000100000" w:firstRow="0" w:lastRow="0" w:firstColumn="0" w:lastColumn="0" w:oddVBand="0" w:evenVBand="0" w:oddHBand="1" w:evenHBand="0" w:firstRowFirstColumn="0" w:firstRowLastColumn="0" w:lastRowFirstColumn="0" w:lastRowLastColumn="0"/>
            </w:pPr>
            <w:r>
              <w:t>'</w:t>
            </w:r>
            <w:r w:rsidR="00764DDC">
              <w:t>60-gallon gas DHW to 80-gallon HPWH</w:t>
            </w:r>
            <w:r>
              <w:t>'</w:t>
            </w:r>
            <w:r w:rsidR="00764DDC">
              <w:t xml:space="preserve"> – install 400-amp panel, 240v circuit and disconnect, connect HPWH to panel</w:t>
            </w:r>
          </w:p>
          <w:p w14:paraId="3BEA3A9D" w14:textId="5D0E35EA" w:rsidR="00764DDC" w:rsidRDefault="00172059" w:rsidP="00764DDC">
            <w:pPr>
              <w:pStyle w:val="TableBullet"/>
              <w:cnfStyle w:val="000000100000" w:firstRow="0" w:lastRow="0" w:firstColumn="0" w:lastColumn="0" w:oddVBand="0" w:evenVBand="0" w:oddHBand="1" w:evenHBand="0" w:firstRowFirstColumn="0" w:firstRowLastColumn="0" w:lastRowFirstColumn="0" w:lastRowLastColumn="0"/>
            </w:pPr>
            <w:r>
              <w:t>'</w:t>
            </w:r>
            <w:r w:rsidR="00764DDC">
              <w:t>Gas Fryer to Electric Fryer</w:t>
            </w:r>
            <w:r>
              <w:t>'</w:t>
            </w:r>
            <w:r w:rsidR="00764DDC">
              <w:t xml:space="preserve"> – Install 400-amp panel, add circuit, disconnect, connect fryer to panel</w:t>
            </w:r>
          </w:p>
          <w:p w14:paraId="59FEBC07" w14:textId="074991DD" w:rsidR="00764DDC" w:rsidRPr="00E021EE" w:rsidRDefault="00172059" w:rsidP="00764DDC">
            <w:pPr>
              <w:pStyle w:val="TableBullet"/>
              <w:cnfStyle w:val="000000100000" w:firstRow="0" w:lastRow="0" w:firstColumn="0" w:lastColumn="0" w:oddVBand="0" w:evenVBand="0" w:oddHBand="1" w:evenHBand="0" w:firstRowFirstColumn="0" w:firstRowLastColumn="0" w:lastRowFirstColumn="0" w:lastRowLastColumn="0"/>
            </w:pPr>
            <w:r>
              <w:t>'</w:t>
            </w:r>
            <w:r w:rsidR="00764DDC" w:rsidRPr="001155B7">
              <w:t>Gas Oven to Electric Oven</w:t>
            </w:r>
            <w:r>
              <w:t>'</w:t>
            </w:r>
            <w:r w:rsidR="00764DDC" w:rsidRPr="001155B7">
              <w:t xml:space="preserve"> – </w:t>
            </w:r>
            <w:r w:rsidR="00764DDC">
              <w:t>Install 600-amp panel, a</w:t>
            </w:r>
            <w:r w:rsidR="00764DDC" w:rsidRPr="001155B7">
              <w:t>dd circuit, disconnect, connect fryer to panel</w:t>
            </w:r>
          </w:p>
        </w:tc>
      </w:tr>
      <w:tr w:rsidR="00764DDC" w14:paraId="39E2B033" w14:textId="77777777" w:rsidTr="00E1158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7E757B9F" w14:textId="77777777" w:rsidR="00764DDC" w:rsidRDefault="00764DDC" w:rsidP="00764DDC">
            <w:pPr>
              <w:pStyle w:val="TableLeftText"/>
            </w:pPr>
            <w:r>
              <w:t>Panel Optimization Infrastructure Costs</w:t>
            </w:r>
          </w:p>
        </w:tc>
        <w:tc>
          <w:tcPr>
            <w:tcW w:w="6570" w:type="dxa"/>
            <w:tcBorders>
              <w:top w:val="single" w:sz="4" w:space="0" w:color="auto"/>
              <w:left w:val="single" w:sz="4" w:space="0" w:color="auto"/>
              <w:bottom w:val="single" w:sz="4" w:space="0" w:color="auto"/>
              <w:right w:val="single" w:sz="4" w:space="0" w:color="auto"/>
            </w:tcBorders>
          </w:tcPr>
          <w:p w14:paraId="7C148296" w14:textId="37938222" w:rsidR="00764DDC" w:rsidRDefault="00764DDC" w:rsidP="00764DDC">
            <w:pPr>
              <w:pStyle w:val="TableCenterText"/>
              <w:jc w:val="left"/>
              <w:cnfStyle w:val="000000010000" w:firstRow="0" w:lastRow="0" w:firstColumn="0" w:lastColumn="0" w:oddVBand="0" w:evenVBand="0" w:oddHBand="0" w:evenHBand="1" w:firstRowFirstColumn="0" w:firstRowLastColumn="0" w:lastRowFirstColumn="0" w:lastRowLastColumn="0"/>
            </w:pPr>
            <w:r>
              <w:t xml:space="preserve">Added the </w:t>
            </w:r>
            <w:r w:rsidR="00172059">
              <w:t>'</w:t>
            </w:r>
            <w:r>
              <w:t>Simple Connection Infrastructure Costs</w:t>
            </w:r>
            <w:r w:rsidR="00172059">
              <w:t>'</w:t>
            </w:r>
            <w:r>
              <w:t xml:space="preserve"> to the average price of a sub-panel installation. Sub-panels were the predominant approach for panel optimization</w:t>
            </w:r>
            <w:r w:rsidR="008A05EF">
              <w:t>,</w:t>
            </w:r>
            <w:r>
              <w:t xml:space="preserve"> according to electricians. </w:t>
            </w:r>
          </w:p>
        </w:tc>
      </w:tr>
      <w:tr w:rsidR="00764DDC" w14:paraId="03DF70CE" w14:textId="77777777" w:rsidTr="00E115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488E6A2C" w14:textId="77777777" w:rsidR="00764DDC" w:rsidRDefault="00764DDC" w:rsidP="00764DDC">
            <w:pPr>
              <w:pStyle w:val="TableLeftText"/>
            </w:pPr>
            <w:r>
              <w:t>Average Cost Across Scenarios</w:t>
            </w:r>
          </w:p>
        </w:tc>
        <w:tc>
          <w:tcPr>
            <w:tcW w:w="6570" w:type="dxa"/>
            <w:tcBorders>
              <w:top w:val="single" w:sz="4" w:space="0" w:color="auto"/>
              <w:left w:val="single" w:sz="4" w:space="0" w:color="auto"/>
              <w:bottom w:val="single" w:sz="4" w:space="0" w:color="auto"/>
              <w:right w:val="single" w:sz="4" w:space="0" w:color="auto"/>
            </w:tcBorders>
          </w:tcPr>
          <w:p w14:paraId="1A8BE511" w14:textId="7CA82CE8" w:rsidR="00764DDC" w:rsidRDefault="008A05EF" w:rsidP="00764DDC">
            <w:pPr>
              <w:pStyle w:val="TableCenterText"/>
              <w:jc w:val="left"/>
              <w:cnfStyle w:val="000000100000" w:firstRow="0" w:lastRow="0" w:firstColumn="0" w:lastColumn="0" w:oddVBand="0" w:evenVBand="0" w:oddHBand="1" w:evenHBand="0" w:firstRowFirstColumn="0" w:firstRowLastColumn="0" w:lastRowFirstColumn="0" w:lastRowLastColumn="0"/>
            </w:pPr>
            <w:r>
              <w:t>The results of the scenarios listed above were weighted</w:t>
            </w:r>
            <w:r w:rsidR="00764DDC">
              <w:t xml:space="preserve"> based on their frequency from the scenario analysis.</w:t>
            </w:r>
          </w:p>
        </w:tc>
      </w:tr>
      <w:tr w:rsidR="00764DDC" w14:paraId="2DCA8745" w14:textId="77777777" w:rsidTr="00E1158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95" w:type="dxa"/>
            <w:tcBorders>
              <w:top w:val="single" w:sz="4" w:space="0" w:color="auto"/>
              <w:left w:val="single" w:sz="4" w:space="0" w:color="auto"/>
              <w:bottom w:val="single" w:sz="4" w:space="0" w:color="auto"/>
              <w:right w:val="single" w:sz="4" w:space="0" w:color="auto"/>
            </w:tcBorders>
          </w:tcPr>
          <w:p w14:paraId="2DF74815" w14:textId="77777777" w:rsidR="00764DDC" w:rsidRDefault="00764DDC" w:rsidP="00764DDC">
            <w:pPr>
              <w:pStyle w:val="TableLeftText"/>
            </w:pPr>
            <w:r>
              <w:t>Total Costs – All Applicable Units</w:t>
            </w:r>
          </w:p>
        </w:tc>
        <w:tc>
          <w:tcPr>
            <w:tcW w:w="6570" w:type="dxa"/>
            <w:tcBorders>
              <w:top w:val="single" w:sz="4" w:space="0" w:color="auto"/>
              <w:left w:val="single" w:sz="4" w:space="0" w:color="auto"/>
              <w:bottom w:val="single" w:sz="4" w:space="0" w:color="auto"/>
              <w:right w:val="single" w:sz="4" w:space="0" w:color="auto"/>
            </w:tcBorders>
          </w:tcPr>
          <w:p w14:paraId="02951EC8" w14:textId="1945DEDD" w:rsidR="00764DDC" w:rsidRDefault="00764DDC" w:rsidP="00764DDC">
            <w:pPr>
              <w:pStyle w:val="TableCenterText"/>
              <w:jc w:val="left"/>
              <w:cnfStyle w:val="000000010000" w:firstRow="0" w:lastRow="0" w:firstColumn="0" w:lastColumn="0" w:oddVBand="0" w:evenVBand="0" w:oddHBand="0" w:evenHBand="1" w:firstRowFirstColumn="0" w:firstRowLastColumn="0" w:lastRowFirstColumn="0" w:lastRowLastColumn="0"/>
            </w:pPr>
            <w:r>
              <w:t xml:space="preserve">Multiplied the </w:t>
            </w:r>
            <w:r w:rsidR="00172059">
              <w:t>'</w:t>
            </w:r>
            <w:r>
              <w:t>Average Cost Across Scenarios</w:t>
            </w:r>
            <w:r w:rsidR="00172059">
              <w:t>'</w:t>
            </w:r>
            <w:r>
              <w:t xml:space="preserve"> by the average number of systems that were replaced in the All-Electric fuel substitution scenario. The previous costs only account for a single technology. This calculation accounts for the fact that some buildings have multiple gas measures that are eligible for fuel substitution.  </w:t>
            </w:r>
          </w:p>
        </w:tc>
      </w:tr>
    </w:tbl>
    <w:p w14:paraId="22B7FD8D" w14:textId="77777777" w:rsidR="00836F9F" w:rsidRPr="00FE6E22" w:rsidRDefault="00836F9F" w:rsidP="00FE6E22"/>
    <w:p w14:paraId="2D625CDB" w14:textId="77777777" w:rsidR="007F1663" w:rsidRDefault="007F1663" w:rsidP="007F1663">
      <w:pPr>
        <w:pStyle w:val="ListBullet"/>
        <w:numPr>
          <w:ilvl w:val="0"/>
          <w:numId w:val="0"/>
        </w:numPr>
        <w:ind w:left="465" w:hanging="285"/>
      </w:pPr>
    </w:p>
    <w:p w14:paraId="67AD7B1C" w14:textId="50828EAE" w:rsidR="007F1663" w:rsidRDefault="00A40EF4" w:rsidP="00A40EF4">
      <w:pPr>
        <w:pStyle w:val="Heading1"/>
      </w:pPr>
      <w:r>
        <w:lastRenderedPageBreak/>
        <w:t>Statewide Weighted Results</w:t>
      </w:r>
    </w:p>
    <w:p w14:paraId="02EB7178" w14:textId="47D7C2B6" w:rsidR="00EB1EC2" w:rsidRDefault="008A05EF" w:rsidP="005E2E32">
      <w:r>
        <w:t>The data tool ha</w:t>
      </w:r>
      <w:r w:rsidR="00A40EF4">
        <w:t xml:space="preserve">s a tab dedicated to overall weighted statewide results. For the residential sector, the team used counts from the 2022 Title 24 housing stock provided by </w:t>
      </w:r>
      <w:r w:rsidR="00993B54">
        <w:t xml:space="preserve">the </w:t>
      </w:r>
      <w:r w:rsidR="00A40EF4">
        <w:t xml:space="preserve">California Energy Commission to calculate the statewide proportions of single-family and multifamily buildings by climate region. </w:t>
      </w:r>
      <w:r>
        <w:t>In comparison to the sample sizes within each scenario and building strata, the team used these proportions</w:t>
      </w:r>
      <w:r w:rsidR="00993B54">
        <w:t xml:space="preserve"> to develop weighted statewide estimates for each </w:t>
      </w:r>
      <w:r w:rsidR="00172059">
        <w:t xml:space="preserve">fuel </w:t>
      </w:r>
      <w:r w:rsidR="008B541D">
        <w:t>substitution</w:t>
      </w:r>
      <w:r w:rsidR="00172059">
        <w:t xml:space="preserve"> scenario</w:t>
      </w:r>
      <w:r w:rsidR="00993B54">
        <w:t xml:space="preserve"> for single-family buildings, multifamily buildings, and all residential buildings. </w:t>
      </w:r>
      <w:r w:rsidR="00EB1EC2">
        <w:t xml:space="preserve">The counts and proportional weights used in our analyses are presented in </w:t>
      </w:r>
      <w:r w:rsidR="005E2E32">
        <w:fldChar w:fldCharType="begin"/>
      </w:r>
      <w:r w:rsidR="005E2E32">
        <w:instrText xml:space="preserve"> REF _Ref158125507 \h </w:instrText>
      </w:r>
      <w:r w:rsidR="005E2E32">
        <w:fldChar w:fldCharType="separate"/>
      </w:r>
      <w:r w:rsidR="004C1D58">
        <w:t xml:space="preserve">Table </w:t>
      </w:r>
      <w:r w:rsidR="004C1D58">
        <w:rPr>
          <w:noProof/>
        </w:rPr>
        <w:t>3</w:t>
      </w:r>
      <w:r w:rsidR="005E2E32">
        <w:fldChar w:fldCharType="end"/>
      </w:r>
      <w:r w:rsidR="00EB1EC2">
        <w:t xml:space="preserve"> and </w:t>
      </w:r>
      <w:r w:rsidR="005E2E32">
        <w:fldChar w:fldCharType="begin"/>
      </w:r>
      <w:r w:rsidR="005E2E32">
        <w:instrText xml:space="preserve"> REF _Ref158125515 \h </w:instrText>
      </w:r>
      <w:r w:rsidR="005E2E32">
        <w:fldChar w:fldCharType="separate"/>
      </w:r>
      <w:r w:rsidR="004C1D58">
        <w:t xml:space="preserve">Table </w:t>
      </w:r>
      <w:r w:rsidR="004C1D58">
        <w:rPr>
          <w:noProof/>
        </w:rPr>
        <w:t>4</w:t>
      </w:r>
      <w:r w:rsidR="005E2E32">
        <w:fldChar w:fldCharType="end"/>
      </w:r>
      <w:r w:rsidR="00EB1EC2">
        <w:t xml:space="preserve">. The first table shows the counts and proportions by California climate zone, while the second table presents the data by climate region. </w:t>
      </w:r>
    </w:p>
    <w:p w14:paraId="1D6CBE78" w14:textId="6BC1092E" w:rsidR="00EB1EC2" w:rsidRDefault="00EB1EC2" w:rsidP="00E71EF3">
      <w:pPr>
        <w:pStyle w:val="Caption"/>
        <w:spacing w:before="240"/>
      </w:pPr>
      <w:bookmarkStart w:id="2" w:name="_Ref158125507"/>
      <w:r>
        <w:t xml:space="preserve">Table </w:t>
      </w:r>
      <w:r>
        <w:fldChar w:fldCharType="begin"/>
      </w:r>
      <w:r>
        <w:instrText xml:space="preserve"> SEQ Table \* ARABIC </w:instrText>
      </w:r>
      <w:r>
        <w:fldChar w:fldCharType="separate"/>
      </w:r>
      <w:r w:rsidR="004C1D58">
        <w:rPr>
          <w:noProof/>
        </w:rPr>
        <w:t>3</w:t>
      </w:r>
      <w:r>
        <w:rPr>
          <w:noProof/>
        </w:rPr>
        <w:fldChar w:fldCharType="end"/>
      </w:r>
      <w:bookmarkEnd w:id="2"/>
      <w:r>
        <w:t>.</w:t>
      </w:r>
      <w:r w:rsidR="00C04489">
        <w:t xml:space="preserve"> 2022 Housing Counts by Title 24 Climate Zones</w:t>
      </w:r>
    </w:p>
    <w:tbl>
      <w:tblPr>
        <w:tblStyle w:val="ODCBasic-1"/>
        <w:tblW w:w="0" w:type="auto"/>
        <w:tblLayout w:type="fixed"/>
        <w:tblCellMar>
          <w:top w:w="0" w:type="dxa"/>
          <w:bottom w:w="14" w:type="dxa"/>
        </w:tblCellMar>
        <w:tblLook w:val="04A0" w:firstRow="1" w:lastRow="0" w:firstColumn="1" w:lastColumn="0" w:noHBand="0" w:noVBand="1"/>
      </w:tblPr>
      <w:tblGrid>
        <w:gridCol w:w="2836"/>
        <w:gridCol w:w="1644"/>
        <w:gridCol w:w="1644"/>
        <w:gridCol w:w="1644"/>
        <w:gridCol w:w="1644"/>
      </w:tblGrid>
      <w:tr w:rsidR="00C04489" w14:paraId="717D02B2" w14:textId="77777777" w:rsidTr="000C79E4">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836" w:type="dxa"/>
            <w:tcBorders>
              <w:bottom w:val="single" w:sz="4" w:space="0" w:color="4A4D56" w:themeColor="text1"/>
              <w:right w:val="single" w:sz="4" w:space="0" w:color="4A4D56" w:themeColor="text1"/>
            </w:tcBorders>
          </w:tcPr>
          <w:p w14:paraId="6FD3CC12" w14:textId="2C175B8D" w:rsidR="00C04489" w:rsidRPr="00625570" w:rsidRDefault="00C04489" w:rsidP="001A2AF7">
            <w:pPr>
              <w:pStyle w:val="TableHeadingLeft"/>
            </w:pPr>
            <w:r>
              <w:t>Climate Zone</w:t>
            </w:r>
          </w:p>
        </w:tc>
        <w:tc>
          <w:tcPr>
            <w:tcW w:w="1644" w:type="dxa"/>
            <w:tcBorders>
              <w:left w:val="single" w:sz="4" w:space="0" w:color="4A4D56" w:themeColor="text1"/>
              <w:bottom w:val="single" w:sz="4" w:space="0" w:color="4A4D56" w:themeColor="text1"/>
              <w:right w:val="single" w:sz="4" w:space="0" w:color="4A4D56" w:themeColor="text1"/>
            </w:tcBorders>
          </w:tcPr>
          <w:p w14:paraId="2B48D483" w14:textId="011DFFFC" w:rsidR="00C04489" w:rsidRPr="00625570" w:rsidRDefault="00C04489" w:rsidP="001A2AF7">
            <w:pPr>
              <w:pStyle w:val="TableHeadingCentered"/>
              <w:cnfStyle w:val="100000000000" w:firstRow="1" w:lastRow="0" w:firstColumn="0" w:lastColumn="0" w:oddVBand="0" w:evenVBand="0" w:oddHBand="0" w:evenHBand="0" w:firstRowFirstColumn="0" w:firstRowLastColumn="0" w:lastRowFirstColumn="0" w:lastRowLastColumn="0"/>
            </w:pPr>
            <w:r>
              <w:t>Single Family Count</w:t>
            </w:r>
          </w:p>
        </w:tc>
        <w:tc>
          <w:tcPr>
            <w:tcW w:w="1644" w:type="dxa"/>
            <w:tcBorders>
              <w:left w:val="single" w:sz="4" w:space="0" w:color="4A4D56" w:themeColor="text1"/>
              <w:bottom w:val="single" w:sz="4" w:space="0" w:color="4A4D56" w:themeColor="text1"/>
              <w:right w:val="single" w:sz="4" w:space="0" w:color="4A4D56" w:themeColor="text1"/>
            </w:tcBorders>
          </w:tcPr>
          <w:p w14:paraId="240D76BD" w14:textId="255DC216" w:rsidR="00C04489" w:rsidRPr="00625570" w:rsidRDefault="00C04489" w:rsidP="001A2AF7">
            <w:pPr>
              <w:pStyle w:val="TableHeadingCentered"/>
              <w:cnfStyle w:val="100000000000" w:firstRow="1" w:lastRow="0" w:firstColumn="0" w:lastColumn="0" w:oddVBand="0" w:evenVBand="0" w:oddHBand="0" w:evenHBand="0" w:firstRowFirstColumn="0" w:firstRowLastColumn="0" w:lastRowFirstColumn="0" w:lastRowLastColumn="0"/>
            </w:pPr>
            <w:r>
              <w:t>Single Family Proportion</w:t>
            </w:r>
          </w:p>
        </w:tc>
        <w:tc>
          <w:tcPr>
            <w:tcW w:w="1644" w:type="dxa"/>
            <w:tcBorders>
              <w:left w:val="single" w:sz="4" w:space="0" w:color="4A4D56" w:themeColor="text1"/>
              <w:bottom w:val="single" w:sz="4" w:space="0" w:color="4A4D56" w:themeColor="text1"/>
              <w:right w:val="single" w:sz="4" w:space="0" w:color="4A4D56" w:themeColor="text1"/>
            </w:tcBorders>
          </w:tcPr>
          <w:p w14:paraId="3390FFA3" w14:textId="662B1BE0" w:rsidR="00C04489" w:rsidRPr="00625570" w:rsidRDefault="00C04489" w:rsidP="001A2AF7">
            <w:pPr>
              <w:pStyle w:val="TableHeadingCentered"/>
              <w:cnfStyle w:val="100000000000" w:firstRow="1" w:lastRow="0" w:firstColumn="0" w:lastColumn="0" w:oddVBand="0" w:evenVBand="0" w:oddHBand="0" w:evenHBand="0" w:firstRowFirstColumn="0" w:firstRowLastColumn="0" w:lastRowFirstColumn="0" w:lastRowLastColumn="0"/>
            </w:pPr>
            <w:r>
              <w:t>Multifamily Count</w:t>
            </w:r>
          </w:p>
        </w:tc>
        <w:tc>
          <w:tcPr>
            <w:tcW w:w="1644" w:type="dxa"/>
            <w:tcBorders>
              <w:left w:val="single" w:sz="4" w:space="0" w:color="4A4D56" w:themeColor="text1"/>
              <w:bottom w:val="single" w:sz="4" w:space="0" w:color="4A4D56" w:themeColor="text1"/>
              <w:right w:val="single" w:sz="4" w:space="0" w:color="4A4D56" w:themeColor="text1"/>
            </w:tcBorders>
          </w:tcPr>
          <w:p w14:paraId="5CABD4EC" w14:textId="13569A7A" w:rsidR="00C04489" w:rsidRPr="00625570" w:rsidRDefault="00C04489" w:rsidP="001A2AF7">
            <w:pPr>
              <w:pStyle w:val="TableHeadingCentered"/>
              <w:cnfStyle w:val="100000000000" w:firstRow="1" w:lastRow="0" w:firstColumn="0" w:lastColumn="0" w:oddVBand="0" w:evenVBand="0" w:oddHBand="0" w:evenHBand="0" w:firstRowFirstColumn="0" w:firstRowLastColumn="0" w:lastRowFirstColumn="0" w:lastRowLastColumn="0"/>
            </w:pPr>
            <w:r>
              <w:t>Multifamily Proportion</w:t>
            </w:r>
          </w:p>
        </w:tc>
      </w:tr>
      <w:tr w:rsidR="00C04489" w14:paraId="48CF3542" w14:textId="77777777" w:rsidTr="00C0448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Borders>
              <w:top w:val="single" w:sz="4" w:space="0" w:color="4A4D56" w:themeColor="text1"/>
            </w:tcBorders>
          </w:tcPr>
          <w:p w14:paraId="63DD64B1" w14:textId="615C6F36" w:rsidR="00C04489" w:rsidRPr="00625570" w:rsidRDefault="00C04489" w:rsidP="00C04489">
            <w:pPr>
              <w:pStyle w:val="TableLeftText"/>
            </w:pPr>
            <w:r>
              <w:t>1</w:t>
            </w:r>
          </w:p>
        </w:tc>
        <w:tc>
          <w:tcPr>
            <w:tcW w:w="1644" w:type="dxa"/>
            <w:tcBorders>
              <w:top w:val="single" w:sz="4" w:space="0" w:color="4A4D56" w:themeColor="text1"/>
            </w:tcBorders>
          </w:tcPr>
          <w:p w14:paraId="3F6CC839" w14:textId="6D01E433"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66,706</w:t>
            </w:r>
          </w:p>
        </w:tc>
        <w:tc>
          <w:tcPr>
            <w:tcW w:w="1644" w:type="dxa"/>
            <w:tcBorders>
              <w:top w:val="single" w:sz="4" w:space="0" w:color="4A4D56" w:themeColor="text1"/>
            </w:tcBorders>
          </w:tcPr>
          <w:p w14:paraId="4B49F817" w14:textId="31095F28"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1%</w:t>
            </w:r>
          </w:p>
        </w:tc>
        <w:tc>
          <w:tcPr>
            <w:tcW w:w="1644" w:type="dxa"/>
            <w:tcBorders>
              <w:top w:val="single" w:sz="4" w:space="0" w:color="4A4D56" w:themeColor="text1"/>
            </w:tcBorders>
          </w:tcPr>
          <w:p w14:paraId="6FBF6BD6" w14:textId="14DFA896"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16,524</w:t>
            </w:r>
          </w:p>
        </w:tc>
        <w:tc>
          <w:tcPr>
            <w:tcW w:w="1644" w:type="dxa"/>
            <w:tcBorders>
              <w:top w:val="single" w:sz="4" w:space="0" w:color="4A4D56" w:themeColor="text1"/>
            </w:tcBorders>
          </w:tcPr>
          <w:p w14:paraId="1D98D6A6" w14:textId="27B4279B"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0%</w:t>
            </w:r>
          </w:p>
        </w:tc>
      </w:tr>
      <w:tr w:rsidR="00C04489" w14:paraId="38644FF9" w14:textId="77777777" w:rsidTr="00C0448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503B0928" w14:textId="3223432F" w:rsidR="00C04489" w:rsidRPr="00625570" w:rsidRDefault="00C04489" w:rsidP="00C04489">
            <w:pPr>
              <w:pStyle w:val="TableLeftText"/>
            </w:pPr>
            <w:r>
              <w:t>2</w:t>
            </w:r>
          </w:p>
        </w:tc>
        <w:tc>
          <w:tcPr>
            <w:tcW w:w="1644" w:type="dxa"/>
          </w:tcPr>
          <w:p w14:paraId="03DB17C1" w14:textId="0CCE1FCD"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314,980</w:t>
            </w:r>
          </w:p>
        </w:tc>
        <w:tc>
          <w:tcPr>
            <w:tcW w:w="1644" w:type="dxa"/>
          </w:tcPr>
          <w:p w14:paraId="072B00E3" w14:textId="4F945201"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3%</w:t>
            </w:r>
          </w:p>
        </w:tc>
        <w:tc>
          <w:tcPr>
            <w:tcW w:w="1644" w:type="dxa"/>
          </w:tcPr>
          <w:p w14:paraId="17CDB9AB" w14:textId="472536DD"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82,327</w:t>
            </w:r>
          </w:p>
        </w:tc>
        <w:tc>
          <w:tcPr>
            <w:tcW w:w="1644" w:type="dxa"/>
          </w:tcPr>
          <w:p w14:paraId="4A58873F" w14:textId="45603A64"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2%</w:t>
            </w:r>
          </w:p>
        </w:tc>
      </w:tr>
      <w:tr w:rsidR="00C04489" w14:paraId="6FF35631" w14:textId="77777777" w:rsidTr="00C0448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7B5CCAEF" w14:textId="0DD53061" w:rsidR="00C04489" w:rsidRPr="00625570" w:rsidRDefault="00C04489" w:rsidP="00C04489">
            <w:pPr>
              <w:pStyle w:val="TableLeftText"/>
            </w:pPr>
            <w:r>
              <w:t>3</w:t>
            </w:r>
          </w:p>
        </w:tc>
        <w:tc>
          <w:tcPr>
            <w:tcW w:w="1644" w:type="dxa"/>
          </w:tcPr>
          <w:p w14:paraId="31E23DF8" w14:textId="6D1196A4"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975,049</w:t>
            </w:r>
          </w:p>
        </w:tc>
        <w:tc>
          <w:tcPr>
            <w:tcW w:w="1644" w:type="dxa"/>
          </w:tcPr>
          <w:p w14:paraId="4F701268" w14:textId="081ACD5A"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10%</w:t>
            </w:r>
          </w:p>
        </w:tc>
        <w:tc>
          <w:tcPr>
            <w:tcW w:w="1644" w:type="dxa"/>
          </w:tcPr>
          <w:p w14:paraId="197F0C48" w14:textId="0F283158"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563,325</w:t>
            </w:r>
          </w:p>
        </w:tc>
        <w:tc>
          <w:tcPr>
            <w:tcW w:w="1644" w:type="dxa"/>
          </w:tcPr>
          <w:p w14:paraId="3A06DA3B" w14:textId="17ACDEB1"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12%</w:t>
            </w:r>
          </w:p>
        </w:tc>
      </w:tr>
      <w:tr w:rsidR="00C04489" w14:paraId="47499679" w14:textId="77777777" w:rsidTr="00C0448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653E8D62" w14:textId="46ADA599" w:rsidR="00C04489" w:rsidRPr="00625570" w:rsidRDefault="00C04489" w:rsidP="00C04489">
            <w:pPr>
              <w:pStyle w:val="TableLeftText"/>
            </w:pPr>
            <w:r>
              <w:t>4</w:t>
            </w:r>
          </w:p>
        </w:tc>
        <w:tc>
          <w:tcPr>
            <w:tcW w:w="1644" w:type="dxa"/>
          </w:tcPr>
          <w:p w14:paraId="2BC2E4E9" w14:textId="6EA4E38E"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486,183</w:t>
            </w:r>
          </w:p>
        </w:tc>
        <w:tc>
          <w:tcPr>
            <w:tcW w:w="1644" w:type="dxa"/>
          </w:tcPr>
          <w:p w14:paraId="6ED47F3B" w14:textId="0744B922"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5%</w:t>
            </w:r>
          </w:p>
        </w:tc>
        <w:tc>
          <w:tcPr>
            <w:tcW w:w="1644" w:type="dxa"/>
          </w:tcPr>
          <w:p w14:paraId="6921EA4D" w14:textId="03E00C73"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304,527</w:t>
            </w:r>
          </w:p>
        </w:tc>
        <w:tc>
          <w:tcPr>
            <w:tcW w:w="1644" w:type="dxa"/>
          </w:tcPr>
          <w:p w14:paraId="55266D27" w14:textId="5DE7EBB0"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7%</w:t>
            </w:r>
          </w:p>
        </w:tc>
      </w:tr>
      <w:tr w:rsidR="00C04489" w14:paraId="5B098911" w14:textId="77777777" w:rsidTr="00C0448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6D1E6C88" w14:textId="0EB6A671" w:rsidR="00C04489" w:rsidRPr="00625570" w:rsidRDefault="00C04489" w:rsidP="00C04489">
            <w:pPr>
              <w:pStyle w:val="TableLeftText"/>
            </w:pPr>
            <w:r>
              <w:t>5</w:t>
            </w:r>
          </w:p>
        </w:tc>
        <w:tc>
          <w:tcPr>
            <w:tcW w:w="1644" w:type="dxa"/>
          </w:tcPr>
          <w:p w14:paraId="43368FAC" w14:textId="4CE57D6A"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112,644</w:t>
            </w:r>
          </w:p>
        </w:tc>
        <w:tc>
          <w:tcPr>
            <w:tcW w:w="1644" w:type="dxa"/>
          </w:tcPr>
          <w:p w14:paraId="1F32937A" w14:textId="727F131B"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1%</w:t>
            </w:r>
          </w:p>
        </w:tc>
        <w:tc>
          <w:tcPr>
            <w:tcW w:w="1644" w:type="dxa"/>
          </w:tcPr>
          <w:p w14:paraId="72506890" w14:textId="4C1DD425"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33,494</w:t>
            </w:r>
          </w:p>
        </w:tc>
        <w:tc>
          <w:tcPr>
            <w:tcW w:w="1644" w:type="dxa"/>
          </w:tcPr>
          <w:p w14:paraId="11C853D4" w14:textId="2549B267"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1%</w:t>
            </w:r>
          </w:p>
        </w:tc>
      </w:tr>
      <w:tr w:rsidR="00C04489" w14:paraId="70A42FB9" w14:textId="77777777" w:rsidTr="00C0448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17DC3C8D" w14:textId="101BF7F3" w:rsidR="00C04489" w:rsidRPr="00625570" w:rsidRDefault="00C04489" w:rsidP="00C04489">
            <w:pPr>
              <w:pStyle w:val="TableLeftText"/>
            </w:pPr>
            <w:r>
              <w:t>6</w:t>
            </w:r>
          </w:p>
        </w:tc>
        <w:tc>
          <w:tcPr>
            <w:tcW w:w="1644" w:type="dxa"/>
          </w:tcPr>
          <w:p w14:paraId="770BABDC" w14:textId="22D8C821"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653,776</w:t>
            </w:r>
          </w:p>
        </w:tc>
        <w:tc>
          <w:tcPr>
            <w:tcW w:w="1644" w:type="dxa"/>
          </w:tcPr>
          <w:p w14:paraId="15CD116F" w14:textId="100CF723"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7%</w:t>
            </w:r>
          </w:p>
        </w:tc>
        <w:tc>
          <w:tcPr>
            <w:tcW w:w="1644" w:type="dxa"/>
          </w:tcPr>
          <w:p w14:paraId="77228233" w14:textId="319760BC"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393,615</w:t>
            </w:r>
          </w:p>
        </w:tc>
        <w:tc>
          <w:tcPr>
            <w:tcW w:w="1644" w:type="dxa"/>
          </w:tcPr>
          <w:p w14:paraId="01E9C52F" w14:textId="174DEFBD"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9%</w:t>
            </w:r>
          </w:p>
        </w:tc>
      </w:tr>
      <w:tr w:rsidR="00C04489" w14:paraId="74D839C4" w14:textId="77777777" w:rsidTr="00C0448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50407B98" w14:textId="1C03CFEA" w:rsidR="00C04489" w:rsidRDefault="00C04489" w:rsidP="00C04489">
            <w:pPr>
              <w:pStyle w:val="TableLeftText"/>
            </w:pPr>
            <w:r>
              <w:t>7</w:t>
            </w:r>
          </w:p>
        </w:tc>
        <w:tc>
          <w:tcPr>
            <w:tcW w:w="1644" w:type="dxa"/>
          </w:tcPr>
          <w:p w14:paraId="54D250F5" w14:textId="622D17A9"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509,587</w:t>
            </w:r>
          </w:p>
        </w:tc>
        <w:tc>
          <w:tcPr>
            <w:tcW w:w="1644" w:type="dxa"/>
          </w:tcPr>
          <w:p w14:paraId="23789F92" w14:textId="5C71A4CC"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5%</w:t>
            </w:r>
          </w:p>
        </w:tc>
        <w:tc>
          <w:tcPr>
            <w:tcW w:w="1644" w:type="dxa"/>
          </w:tcPr>
          <w:p w14:paraId="658E7256" w14:textId="2D545CD4"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298,199</w:t>
            </w:r>
          </w:p>
        </w:tc>
        <w:tc>
          <w:tcPr>
            <w:tcW w:w="1644" w:type="dxa"/>
          </w:tcPr>
          <w:p w14:paraId="24C54654" w14:textId="23F2E2BB"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7%</w:t>
            </w:r>
          </w:p>
        </w:tc>
      </w:tr>
      <w:tr w:rsidR="00C04489" w14:paraId="0DAC3716" w14:textId="77777777" w:rsidTr="00C0448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262D0B91" w14:textId="594C050B" w:rsidR="00C04489" w:rsidRDefault="00C04489" w:rsidP="00C04489">
            <w:pPr>
              <w:pStyle w:val="TableLeftText"/>
            </w:pPr>
            <w:r>
              <w:t>8</w:t>
            </w:r>
          </w:p>
        </w:tc>
        <w:tc>
          <w:tcPr>
            <w:tcW w:w="1644" w:type="dxa"/>
          </w:tcPr>
          <w:p w14:paraId="29217ACA" w14:textId="1C304E8B"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984,134</w:t>
            </w:r>
          </w:p>
        </w:tc>
        <w:tc>
          <w:tcPr>
            <w:tcW w:w="1644" w:type="dxa"/>
          </w:tcPr>
          <w:p w14:paraId="04706B4E" w14:textId="0ECC10F6"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10%</w:t>
            </w:r>
          </w:p>
        </w:tc>
        <w:tc>
          <w:tcPr>
            <w:tcW w:w="1644" w:type="dxa"/>
          </w:tcPr>
          <w:p w14:paraId="67D15398" w14:textId="7214FB47"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638,398</w:t>
            </w:r>
          </w:p>
        </w:tc>
        <w:tc>
          <w:tcPr>
            <w:tcW w:w="1644" w:type="dxa"/>
          </w:tcPr>
          <w:p w14:paraId="6480DA43" w14:textId="37F0D4D5"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14%</w:t>
            </w:r>
          </w:p>
        </w:tc>
      </w:tr>
      <w:tr w:rsidR="00C04489" w14:paraId="3C510386" w14:textId="77777777" w:rsidTr="00C0448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22C9FD2B" w14:textId="546A6A4F" w:rsidR="00C04489" w:rsidRDefault="00C04489" w:rsidP="00C04489">
            <w:pPr>
              <w:pStyle w:val="TableLeftText"/>
            </w:pPr>
            <w:r>
              <w:t>9</w:t>
            </w:r>
          </w:p>
        </w:tc>
        <w:tc>
          <w:tcPr>
            <w:tcW w:w="1644" w:type="dxa"/>
          </w:tcPr>
          <w:p w14:paraId="3A021A9C" w14:textId="45680490"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1,235,365</w:t>
            </w:r>
          </w:p>
        </w:tc>
        <w:tc>
          <w:tcPr>
            <w:tcW w:w="1644" w:type="dxa"/>
          </w:tcPr>
          <w:p w14:paraId="7DC3B127" w14:textId="45B36198"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13%</w:t>
            </w:r>
          </w:p>
        </w:tc>
        <w:tc>
          <w:tcPr>
            <w:tcW w:w="1644" w:type="dxa"/>
          </w:tcPr>
          <w:p w14:paraId="5770273E" w14:textId="57AA6DCC"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964,907</w:t>
            </w:r>
          </w:p>
        </w:tc>
        <w:tc>
          <w:tcPr>
            <w:tcW w:w="1644" w:type="dxa"/>
          </w:tcPr>
          <w:p w14:paraId="049E5BF4" w14:textId="2D21D25C"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21%</w:t>
            </w:r>
          </w:p>
        </w:tc>
      </w:tr>
      <w:tr w:rsidR="00C04489" w14:paraId="08CDE6D9" w14:textId="77777777" w:rsidTr="00C0448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0B01127C" w14:textId="0E2AA5BA" w:rsidR="00C04489" w:rsidRDefault="00C04489" w:rsidP="00C04489">
            <w:pPr>
              <w:pStyle w:val="TableLeftText"/>
            </w:pPr>
            <w:r>
              <w:t>10</w:t>
            </w:r>
          </w:p>
        </w:tc>
        <w:tc>
          <w:tcPr>
            <w:tcW w:w="1644" w:type="dxa"/>
          </w:tcPr>
          <w:p w14:paraId="432EDA9D" w14:textId="679FFEBF"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1,120,416</w:t>
            </w:r>
          </w:p>
        </w:tc>
        <w:tc>
          <w:tcPr>
            <w:tcW w:w="1644" w:type="dxa"/>
          </w:tcPr>
          <w:p w14:paraId="7785A262" w14:textId="0DB3CEDA"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12%</w:t>
            </w:r>
          </w:p>
        </w:tc>
        <w:tc>
          <w:tcPr>
            <w:tcW w:w="1644" w:type="dxa"/>
          </w:tcPr>
          <w:p w14:paraId="5CB37246" w14:textId="2248D751"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362,504</w:t>
            </w:r>
          </w:p>
        </w:tc>
        <w:tc>
          <w:tcPr>
            <w:tcW w:w="1644" w:type="dxa"/>
          </w:tcPr>
          <w:p w14:paraId="6B33DE30" w14:textId="058FEB3E"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8%</w:t>
            </w:r>
          </w:p>
        </w:tc>
      </w:tr>
      <w:tr w:rsidR="00C04489" w14:paraId="7145FAF3" w14:textId="77777777" w:rsidTr="00C0448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5E1DD837" w14:textId="350470DE" w:rsidR="00C04489" w:rsidRDefault="00C04489" w:rsidP="00C04489">
            <w:pPr>
              <w:pStyle w:val="TableLeftText"/>
            </w:pPr>
            <w:r>
              <w:t>11</w:t>
            </w:r>
          </w:p>
        </w:tc>
        <w:tc>
          <w:tcPr>
            <w:tcW w:w="1644" w:type="dxa"/>
          </w:tcPr>
          <w:p w14:paraId="39FC9776" w14:textId="4057A066"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347,458</w:t>
            </w:r>
          </w:p>
        </w:tc>
        <w:tc>
          <w:tcPr>
            <w:tcW w:w="1644" w:type="dxa"/>
          </w:tcPr>
          <w:p w14:paraId="2A4B6FC5" w14:textId="46133160"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4%</w:t>
            </w:r>
          </w:p>
        </w:tc>
        <w:tc>
          <w:tcPr>
            <w:tcW w:w="1644" w:type="dxa"/>
          </w:tcPr>
          <w:p w14:paraId="2B0BB39B" w14:textId="34E7B951"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78,943</w:t>
            </w:r>
          </w:p>
        </w:tc>
        <w:tc>
          <w:tcPr>
            <w:tcW w:w="1644" w:type="dxa"/>
          </w:tcPr>
          <w:p w14:paraId="7AF60F61" w14:textId="7D405880"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2%</w:t>
            </w:r>
          </w:p>
        </w:tc>
      </w:tr>
      <w:tr w:rsidR="00C04489" w14:paraId="29660CEC" w14:textId="77777777" w:rsidTr="00C0448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24B92361" w14:textId="4AA001A9" w:rsidR="00C04489" w:rsidRDefault="00C04489" w:rsidP="00C04489">
            <w:pPr>
              <w:pStyle w:val="TableLeftText"/>
            </w:pPr>
            <w:r>
              <w:t>12</w:t>
            </w:r>
          </w:p>
        </w:tc>
        <w:tc>
          <w:tcPr>
            <w:tcW w:w="1644" w:type="dxa"/>
          </w:tcPr>
          <w:p w14:paraId="6D8F17AD" w14:textId="4B164535"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1,394,955</w:t>
            </w:r>
          </w:p>
        </w:tc>
        <w:tc>
          <w:tcPr>
            <w:tcW w:w="1644" w:type="dxa"/>
          </w:tcPr>
          <w:p w14:paraId="258C4714" w14:textId="695A01D8"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15%</w:t>
            </w:r>
          </w:p>
        </w:tc>
        <w:tc>
          <w:tcPr>
            <w:tcW w:w="1644" w:type="dxa"/>
          </w:tcPr>
          <w:p w14:paraId="118F8E3B" w14:textId="65F42FFF"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488,090</w:t>
            </w:r>
          </w:p>
        </w:tc>
        <w:tc>
          <w:tcPr>
            <w:tcW w:w="1644" w:type="dxa"/>
          </w:tcPr>
          <w:p w14:paraId="4B50173E" w14:textId="2890226F"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11%</w:t>
            </w:r>
          </w:p>
        </w:tc>
      </w:tr>
      <w:tr w:rsidR="00C04489" w14:paraId="4BFA8F2E" w14:textId="77777777" w:rsidTr="00C0448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1486B00E" w14:textId="32944B61" w:rsidR="00C04489" w:rsidRDefault="00C04489" w:rsidP="00C04489">
            <w:pPr>
              <w:pStyle w:val="TableLeftText"/>
            </w:pPr>
            <w:r>
              <w:t>13</w:t>
            </w:r>
          </w:p>
        </w:tc>
        <w:tc>
          <w:tcPr>
            <w:tcW w:w="1644" w:type="dxa"/>
          </w:tcPr>
          <w:p w14:paraId="0E1CD5BE" w14:textId="76F33FEB"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635,273</w:t>
            </w:r>
          </w:p>
        </w:tc>
        <w:tc>
          <w:tcPr>
            <w:tcW w:w="1644" w:type="dxa"/>
          </w:tcPr>
          <w:p w14:paraId="03408689" w14:textId="3D05B0BB"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7%</w:t>
            </w:r>
          </w:p>
        </w:tc>
        <w:tc>
          <w:tcPr>
            <w:tcW w:w="1644" w:type="dxa"/>
          </w:tcPr>
          <w:p w14:paraId="5D75E533" w14:textId="1E3697D3"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168,618</w:t>
            </w:r>
          </w:p>
        </w:tc>
        <w:tc>
          <w:tcPr>
            <w:tcW w:w="1644" w:type="dxa"/>
          </w:tcPr>
          <w:p w14:paraId="0EE6AE8C" w14:textId="3C85C096"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4%</w:t>
            </w:r>
          </w:p>
        </w:tc>
      </w:tr>
      <w:tr w:rsidR="00C04489" w14:paraId="05A7FA2C" w14:textId="77777777" w:rsidTr="00C0448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6653A2A3" w14:textId="2A4F18C7" w:rsidR="00C04489" w:rsidRDefault="00C04489" w:rsidP="00C04489">
            <w:pPr>
              <w:pStyle w:val="TableLeftText"/>
            </w:pPr>
            <w:r>
              <w:t>14</w:t>
            </w:r>
          </w:p>
        </w:tc>
        <w:tc>
          <w:tcPr>
            <w:tcW w:w="1644" w:type="dxa"/>
          </w:tcPr>
          <w:p w14:paraId="319339A2" w14:textId="41B42E5D"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259,501</w:t>
            </w:r>
          </w:p>
        </w:tc>
        <w:tc>
          <w:tcPr>
            <w:tcW w:w="1644" w:type="dxa"/>
          </w:tcPr>
          <w:p w14:paraId="7816BD56" w14:textId="1E59DA0A"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3%</w:t>
            </w:r>
          </w:p>
        </w:tc>
        <w:tc>
          <w:tcPr>
            <w:tcW w:w="1644" w:type="dxa"/>
          </w:tcPr>
          <w:p w14:paraId="1B6A8302" w14:textId="59720DD5"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92,410</w:t>
            </w:r>
          </w:p>
        </w:tc>
        <w:tc>
          <w:tcPr>
            <w:tcW w:w="1644" w:type="dxa"/>
          </w:tcPr>
          <w:p w14:paraId="60309374" w14:textId="723A002C"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2%</w:t>
            </w:r>
          </w:p>
        </w:tc>
      </w:tr>
      <w:tr w:rsidR="00C04489" w14:paraId="6736630E" w14:textId="77777777" w:rsidTr="00C0448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1835257B" w14:textId="50F5602A" w:rsidR="00C04489" w:rsidRDefault="00C04489" w:rsidP="00C04489">
            <w:pPr>
              <w:pStyle w:val="TableLeftText"/>
            </w:pPr>
            <w:r>
              <w:t>15</w:t>
            </w:r>
          </w:p>
        </w:tc>
        <w:tc>
          <w:tcPr>
            <w:tcW w:w="1644" w:type="dxa"/>
          </w:tcPr>
          <w:p w14:paraId="49EB9BB3" w14:textId="45288910"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178,926</w:t>
            </w:r>
          </w:p>
        </w:tc>
        <w:tc>
          <w:tcPr>
            <w:tcW w:w="1644" w:type="dxa"/>
          </w:tcPr>
          <w:p w14:paraId="6EC10ED2" w14:textId="780E7EE1"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2%</w:t>
            </w:r>
          </w:p>
        </w:tc>
        <w:tc>
          <w:tcPr>
            <w:tcW w:w="1644" w:type="dxa"/>
          </w:tcPr>
          <w:p w14:paraId="7F628499" w14:textId="2213E296"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46,467</w:t>
            </w:r>
          </w:p>
        </w:tc>
        <w:tc>
          <w:tcPr>
            <w:tcW w:w="1644" w:type="dxa"/>
          </w:tcPr>
          <w:p w14:paraId="0185DA98" w14:textId="36259557" w:rsidR="00C04489" w:rsidRPr="000B7901"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pPr>
            <w:r w:rsidRPr="00C04489">
              <w:t>1%</w:t>
            </w:r>
          </w:p>
        </w:tc>
      </w:tr>
      <w:tr w:rsidR="00C04489" w14:paraId="4D047D24" w14:textId="77777777" w:rsidTr="00C0448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2C830E74" w14:textId="230B0ABC" w:rsidR="00C04489" w:rsidRDefault="00C04489" w:rsidP="00C04489">
            <w:pPr>
              <w:pStyle w:val="TableLeftText"/>
            </w:pPr>
            <w:r>
              <w:t>16</w:t>
            </w:r>
          </w:p>
        </w:tc>
        <w:tc>
          <w:tcPr>
            <w:tcW w:w="1644" w:type="dxa"/>
          </w:tcPr>
          <w:p w14:paraId="3ACE4BC3" w14:textId="3FC9E7FD"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160,587</w:t>
            </w:r>
          </w:p>
        </w:tc>
        <w:tc>
          <w:tcPr>
            <w:tcW w:w="1644" w:type="dxa"/>
          </w:tcPr>
          <w:p w14:paraId="173D4698" w14:textId="5F26885B"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2%</w:t>
            </w:r>
          </w:p>
        </w:tc>
        <w:tc>
          <w:tcPr>
            <w:tcW w:w="1644" w:type="dxa"/>
          </w:tcPr>
          <w:p w14:paraId="24C9E506" w14:textId="004AF3B5"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38,423</w:t>
            </w:r>
          </w:p>
        </w:tc>
        <w:tc>
          <w:tcPr>
            <w:tcW w:w="1644" w:type="dxa"/>
          </w:tcPr>
          <w:p w14:paraId="7063ECAC" w14:textId="5ADF0019" w:rsidR="00C04489" w:rsidRPr="000B7901" w:rsidRDefault="00C04489" w:rsidP="00C04489">
            <w:pPr>
              <w:pStyle w:val="TableLeftText"/>
              <w:jc w:val="center"/>
              <w:cnfStyle w:val="000000010000" w:firstRow="0" w:lastRow="0" w:firstColumn="0" w:lastColumn="0" w:oddVBand="0" w:evenVBand="0" w:oddHBand="0" w:evenHBand="1" w:firstRowFirstColumn="0" w:firstRowLastColumn="0" w:lastRowFirstColumn="0" w:lastRowLastColumn="0"/>
            </w:pPr>
            <w:r w:rsidRPr="00C04489">
              <w:t>1%</w:t>
            </w:r>
          </w:p>
        </w:tc>
      </w:tr>
      <w:tr w:rsidR="00C04489" w14:paraId="5EDEB6FE" w14:textId="77777777" w:rsidTr="00C0448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65C7C2E3" w14:textId="134AEBEB" w:rsidR="00C04489" w:rsidRPr="001A2AF7" w:rsidRDefault="00C04489" w:rsidP="00C04489">
            <w:pPr>
              <w:pStyle w:val="TableTextLeftMedium"/>
            </w:pPr>
            <w:r>
              <w:t>Total</w:t>
            </w:r>
          </w:p>
        </w:tc>
        <w:tc>
          <w:tcPr>
            <w:tcW w:w="1644" w:type="dxa"/>
          </w:tcPr>
          <w:p w14:paraId="3B8C63B2" w14:textId="3DE2E955" w:rsidR="00C04489" w:rsidRPr="004C1D58"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1D58">
              <w:rPr>
                <w:rFonts w:asciiTheme="majorHAnsi" w:hAnsiTheme="majorHAnsi"/>
              </w:rPr>
              <w:t>9,435,541</w:t>
            </w:r>
          </w:p>
        </w:tc>
        <w:tc>
          <w:tcPr>
            <w:tcW w:w="1644" w:type="dxa"/>
          </w:tcPr>
          <w:p w14:paraId="13D9665A" w14:textId="6449E665" w:rsidR="00C04489" w:rsidRPr="004C1D58"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1D58">
              <w:rPr>
                <w:rFonts w:asciiTheme="majorHAnsi" w:hAnsiTheme="majorHAnsi"/>
              </w:rPr>
              <w:t>100%</w:t>
            </w:r>
          </w:p>
        </w:tc>
        <w:tc>
          <w:tcPr>
            <w:tcW w:w="1644" w:type="dxa"/>
          </w:tcPr>
          <w:p w14:paraId="16385780" w14:textId="34EE479E" w:rsidR="00C04489" w:rsidRPr="004C1D58"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1D58">
              <w:rPr>
                <w:rFonts w:asciiTheme="majorHAnsi" w:hAnsiTheme="majorHAnsi"/>
              </w:rPr>
              <w:t>4,570,770</w:t>
            </w:r>
          </w:p>
        </w:tc>
        <w:tc>
          <w:tcPr>
            <w:tcW w:w="1644" w:type="dxa"/>
          </w:tcPr>
          <w:p w14:paraId="0A8183F3" w14:textId="3813A296" w:rsidR="00C04489" w:rsidRPr="004C1D58" w:rsidRDefault="00C04489" w:rsidP="00C04489">
            <w:pPr>
              <w:pStyle w:val="TableLeft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1D58">
              <w:rPr>
                <w:rFonts w:asciiTheme="majorHAnsi" w:hAnsiTheme="majorHAnsi"/>
              </w:rPr>
              <w:t>100%</w:t>
            </w:r>
          </w:p>
        </w:tc>
      </w:tr>
    </w:tbl>
    <w:p w14:paraId="68168EBF" w14:textId="58BE2CAE" w:rsidR="00EB1EC2" w:rsidRPr="005E2E32" w:rsidRDefault="00C04489" w:rsidP="005E2E32">
      <w:pPr>
        <w:spacing w:after="0"/>
        <w:ind w:left="1440"/>
        <w:rPr>
          <w:i/>
          <w:iCs/>
          <w:sz w:val="18"/>
          <w:szCs w:val="18"/>
        </w:rPr>
      </w:pPr>
      <w:r>
        <w:rPr>
          <w:i/>
          <w:iCs/>
          <w:sz w:val="18"/>
          <w:szCs w:val="18"/>
        </w:rPr>
        <w:t>Notes: The CEC used 2022 housing stock data from Moody</w:t>
      </w:r>
      <w:r w:rsidR="00172059">
        <w:rPr>
          <w:i/>
          <w:iCs/>
          <w:sz w:val="18"/>
          <w:szCs w:val="18"/>
        </w:rPr>
        <w:t>'</w:t>
      </w:r>
      <w:r>
        <w:rPr>
          <w:i/>
          <w:iCs/>
          <w:sz w:val="18"/>
          <w:szCs w:val="18"/>
        </w:rPr>
        <w:t>s and aligned it with the Title 24 Building Climate Zones</w:t>
      </w:r>
      <w:r>
        <w:rPr>
          <w:i/>
          <w:iCs/>
          <w:sz w:val="18"/>
          <w:szCs w:val="18"/>
        </w:rPr>
        <w:br/>
      </w:r>
      <w:r w:rsidR="00EB1EC2" w:rsidRPr="009B0103">
        <w:rPr>
          <w:i/>
          <w:iCs/>
          <w:sz w:val="18"/>
          <w:szCs w:val="18"/>
        </w:rPr>
        <w:t>Source:</w:t>
      </w:r>
      <w:r>
        <w:rPr>
          <w:i/>
          <w:iCs/>
          <w:sz w:val="18"/>
          <w:szCs w:val="18"/>
        </w:rPr>
        <w:t xml:space="preserve"> California Energy Commission</w:t>
      </w:r>
    </w:p>
    <w:p w14:paraId="5C58738B" w14:textId="5ED2EF2A" w:rsidR="005E2E32" w:rsidRDefault="005E2E32" w:rsidP="005E2E32">
      <w:pPr>
        <w:pStyle w:val="Caption"/>
        <w:spacing w:before="240"/>
      </w:pPr>
      <w:bookmarkStart w:id="3" w:name="_Ref158125515"/>
      <w:r>
        <w:t xml:space="preserve">Table </w:t>
      </w:r>
      <w:r>
        <w:fldChar w:fldCharType="begin"/>
      </w:r>
      <w:r>
        <w:instrText xml:space="preserve"> SEQ Table \* ARABIC </w:instrText>
      </w:r>
      <w:r>
        <w:fldChar w:fldCharType="separate"/>
      </w:r>
      <w:r w:rsidR="004C1D58">
        <w:rPr>
          <w:noProof/>
        </w:rPr>
        <w:t>4</w:t>
      </w:r>
      <w:r>
        <w:rPr>
          <w:noProof/>
        </w:rPr>
        <w:fldChar w:fldCharType="end"/>
      </w:r>
      <w:bookmarkEnd w:id="3"/>
      <w:r>
        <w:t>. 2022 Housing Counts by Title 24 Climate Zones</w:t>
      </w:r>
    </w:p>
    <w:tbl>
      <w:tblPr>
        <w:tblStyle w:val="ODCBasic-1"/>
        <w:tblW w:w="0" w:type="auto"/>
        <w:tblLayout w:type="fixed"/>
        <w:tblCellMar>
          <w:top w:w="0" w:type="dxa"/>
          <w:bottom w:w="14" w:type="dxa"/>
        </w:tblCellMar>
        <w:tblLook w:val="04A0" w:firstRow="1" w:lastRow="0" w:firstColumn="1" w:lastColumn="0" w:noHBand="0" w:noVBand="1"/>
      </w:tblPr>
      <w:tblGrid>
        <w:gridCol w:w="2836"/>
        <w:gridCol w:w="1644"/>
        <w:gridCol w:w="1644"/>
        <w:gridCol w:w="1644"/>
        <w:gridCol w:w="1644"/>
      </w:tblGrid>
      <w:tr w:rsidR="005E2E32" w14:paraId="2688312F" w14:textId="77777777" w:rsidTr="0046526C">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836" w:type="dxa"/>
            <w:tcBorders>
              <w:bottom w:val="single" w:sz="4" w:space="0" w:color="4A4D56" w:themeColor="text1"/>
              <w:right w:val="single" w:sz="4" w:space="0" w:color="4A4D56" w:themeColor="text1"/>
            </w:tcBorders>
          </w:tcPr>
          <w:p w14:paraId="48558C1D" w14:textId="1C374AE9" w:rsidR="005E2E32" w:rsidRPr="00625570" w:rsidRDefault="005E2E32" w:rsidP="0046526C">
            <w:pPr>
              <w:pStyle w:val="TableHeadingLeft"/>
            </w:pPr>
            <w:r>
              <w:t>Climate Region</w:t>
            </w:r>
          </w:p>
        </w:tc>
        <w:tc>
          <w:tcPr>
            <w:tcW w:w="1644" w:type="dxa"/>
            <w:tcBorders>
              <w:left w:val="single" w:sz="4" w:space="0" w:color="4A4D56" w:themeColor="text1"/>
              <w:bottom w:val="single" w:sz="4" w:space="0" w:color="4A4D56" w:themeColor="text1"/>
              <w:right w:val="single" w:sz="4" w:space="0" w:color="4A4D56" w:themeColor="text1"/>
            </w:tcBorders>
          </w:tcPr>
          <w:p w14:paraId="14ED0E9A" w14:textId="77777777" w:rsidR="005E2E32" w:rsidRPr="00625570" w:rsidRDefault="005E2E32" w:rsidP="0046526C">
            <w:pPr>
              <w:pStyle w:val="TableHeadingCentered"/>
              <w:cnfStyle w:val="100000000000" w:firstRow="1" w:lastRow="0" w:firstColumn="0" w:lastColumn="0" w:oddVBand="0" w:evenVBand="0" w:oddHBand="0" w:evenHBand="0" w:firstRowFirstColumn="0" w:firstRowLastColumn="0" w:lastRowFirstColumn="0" w:lastRowLastColumn="0"/>
            </w:pPr>
            <w:r>
              <w:t>Single Family Count</w:t>
            </w:r>
          </w:p>
        </w:tc>
        <w:tc>
          <w:tcPr>
            <w:tcW w:w="1644" w:type="dxa"/>
            <w:tcBorders>
              <w:left w:val="single" w:sz="4" w:space="0" w:color="4A4D56" w:themeColor="text1"/>
              <w:bottom w:val="single" w:sz="4" w:space="0" w:color="4A4D56" w:themeColor="text1"/>
              <w:right w:val="single" w:sz="4" w:space="0" w:color="4A4D56" w:themeColor="text1"/>
            </w:tcBorders>
          </w:tcPr>
          <w:p w14:paraId="6555EA28" w14:textId="77777777" w:rsidR="005E2E32" w:rsidRPr="00625570" w:rsidRDefault="005E2E32" w:rsidP="0046526C">
            <w:pPr>
              <w:pStyle w:val="TableHeadingCentered"/>
              <w:cnfStyle w:val="100000000000" w:firstRow="1" w:lastRow="0" w:firstColumn="0" w:lastColumn="0" w:oddVBand="0" w:evenVBand="0" w:oddHBand="0" w:evenHBand="0" w:firstRowFirstColumn="0" w:firstRowLastColumn="0" w:lastRowFirstColumn="0" w:lastRowLastColumn="0"/>
            </w:pPr>
            <w:r>
              <w:t>Single Family Proportion</w:t>
            </w:r>
          </w:p>
        </w:tc>
        <w:tc>
          <w:tcPr>
            <w:tcW w:w="1644" w:type="dxa"/>
            <w:tcBorders>
              <w:left w:val="single" w:sz="4" w:space="0" w:color="4A4D56" w:themeColor="text1"/>
              <w:bottom w:val="single" w:sz="4" w:space="0" w:color="4A4D56" w:themeColor="text1"/>
              <w:right w:val="single" w:sz="4" w:space="0" w:color="4A4D56" w:themeColor="text1"/>
            </w:tcBorders>
          </w:tcPr>
          <w:p w14:paraId="2C04F3EC" w14:textId="77777777" w:rsidR="005E2E32" w:rsidRPr="00625570" w:rsidRDefault="005E2E32" w:rsidP="0046526C">
            <w:pPr>
              <w:pStyle w:val="TableHeadingCentered"/>
              <w:cnfStyle w:val="100000000000" w:firstRow="1" w:lastRow="0" w:firstColumn="0" w:lastColumn="0" w:oddVBand="0" w:evenVBand="0" w:oddHBand="0" w:evenHBand="0" w:firstRowFirstColumn="0" w:firstRowLastColumn="0" w:lastRowFirstColumn="0" w:lastRowLastColumn="0"/>
            </w:pPr>
            <w:r>
              <w:t>Multifamily Count</w:t>
            </w:r>
          </w:p>
        </w:tc>
        <w:tc>
          <w:tcPr>
            <w:tcW w:w="1644" w:type="dxa"/>
            <w:tcBorders>
              <w:left w:val="single" w:sz="4" w:space="0" w:color="4A4D56" w:themeColor="text1"/>
              <w:bottom w:val="single" w:sz="4" w:space="0" w:color="4A4D56" w:themeColor="text1"/>
              <w:right w:val="single" w:sz="4" w:space="0" w:color="4A4D56" w:themeColor="text1"/>
            </w:tcBorders>
          </w:tcPr>
          <w:p w14:paraId="550E7415" w14:textId="77777777" w:rsidR="005E2E32" w:rsidRPr="00625570" w:rsidRDefault="005E2E32" w:rsidP="0046526C">
            <w:pPr>
              <w:pStyle w:val="TableHeadingCentered"/>
              <w:cnfStyle w:val="100000000000" w:firstRow="1" w:lastRow="0" w:firstColumn="0" w:lastColumn="0" w:oddVBand="0" w:evenVBand="0" w:oddHBand="0" w:evenHBand="0" w:firstRowFirstColumn="0" w:firstRowLastColumn="0" w:lastRowFirstColumn="0" w:lastRowLastColumn="0"/>
            </w:pPr>
            <w:r>
              <w:t>Multifamily Proportion</w:t>
            </w:r>
          </w:p>
        </w:tc>
      </w:tr>
      <w:tr w:rsidR="005E2E32" w14:paraId="151D5B3C" w14:textId="77777777" w:rsidTr="005E2E32">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Borders>
              <w:top w:val="single" w:sz="4" w:space="0" w:color="4A4D56" w:themeColor="text1"/>
            </w:tcBorders>
          </w:tcPr>
          <w:p w14:paraId="51D38C99" w14:textId="6EB71F3B" w:rsidR="005E2E32" w:rsidRPr="00625570" w:rsidRDefault="00C042CC" w:rsidP="005E2E32">
            <w:pPr>
              <w:pStyle w:val="TableLeftText"/>
            </w:pPr>
            <w:r>
              <w:t>Marine</w:t>
            </w:r>
          </w:p>
        </w:tc>
        <w:tc>
          <w:tcPr>
            <w:tcW w:w="1644" w:type="dxa"/>
            <w:tcBorders>
              <w:top w:val="single" w:sz="4" w:space="0" w:color="4A4D56" w:themeColor="text1"/>
            </w:tcBorders>
          </w:tcPr>
          <w:p w14:paraId="3BC5B016" w14:textId="0A2F024C" w:rsidR="005E2E32" w:rsidRPr="000B7901" w:rsidRDefault="005E2E32" w:rsidP="005E2E32">
            <w:pPr>
              <w:pStyle w:val="TableLeftText"/>
              <w:jc w:val="center"/>
              <w:cnfStyle w:val="000000100000" w:firstRow="0" w:lastRow="0" w:firstColumn="0" w:lastColumn="0" w:oddVBand="0" w:evenVBand="0" w:oddHBand="1" w:evenHBand="0" w:firstRowFirstColumn="0" w:firstRowLastColumn="0" w:lastRowFirstColumn="0" w:lastRowLastColumn="0"/>
            </w:pPr>
            <w:r w:rsidRPr="005E2E32">
              <w:t>2,609,338</w:t>
            </w:r>
          </w:p>
        </w:tc>
        <w:tc>
          <w:tcPr>
            <w:tcW w:w="1644" w:type="dxa"/>
            <w:tcBorders>
              <w:top w:val="single" w:sz="4" w:space="0" w:color="4A4D56" w:themeColor="text1"/>
            </w:tcBorders>
          </w:tcPr>
          <w:p w14:paraId="2A01020D" w14:textId="603D43EA" w:rsidR="005E2E32" w:rsidRPr="000B7901" w:rsidRDefault="005E2E32" w:rsidP="005E2E32">
            <w:pPr>
              <w:pStyle w:val="TableLeftText"/>
              <w:jc w:val="center"/>
              <w:cnfStyle w:val="000000100000" w:firstRow="0" w:lastRow="0" w:firstColumn="0" w:lastColumn="0" w:oddVBand="0" w:evenVBand="0" w:oddHBand="1" w:evenHBand="0" w:firstRowFirstColumn="0" w:firstRowLastColumn="0" w:lastRowFirstColumn="0" w:lastRowLastColumn="0"/>
            </w:pPr>
            <w:r w:rsidRPr="005E2E32">
              <w:t>28%</w:t>
            </w:r>
          </w:p>
        </w:tc>
        <w:tc>
          <w:tcPr>
            <w:tcW w:w="1644" w:type="dxa"/>
            <w:tcBorders>
              <w:top w:val="single" w:sz="4" w:space="0" w:color="4A4D56" w:themeColor="text1"/>
            </w:tcBorders>
          </w:tcPr>
          <w:p w14:paraId="03B88032" w14:textId="37804BF5" w:rsidR="005E2E32" w:rsidRPr="000B7901" w:rsidRDefault="005E2E32" w:rsidP="005E2E32">
            <w:pPr>
              <w:pStyle w:val="TableLeftText"/>
              <w:jc w:val="center"/>
              <w:cnfStyle w:val="000000100000" w:firstRow="0" w:lastRow="0" w:firstColumn="0" w:lastColumn="0" w:oddVBand="0" w:evenVBand="0" w:oddHBand="1" w:evenHBand="0" w:firstRowFirstColumn="0" w:firstRowLastColumn="0" w:lastRowFirstColumn="0" w:lastRowLastColumn="0"/>
            </w:pPr>
            <w:r w:rsidRPr="005E2E32">
              <w:t>1,393,811</w:t>
            </w:r>
          </w:p>
        </w:tc>
        <w:tc>
          <w:tcPr>
            <w:tcW w:w="1644" w:type="dxa"/>
            <w:tcBorders>
              <w:top w:val="single" w:sz="4" w:space="0" w:color="4A4D56" w:themeColor="text1"/>
            </w:tcBorders>
          </w:tcPr>
          <w:p w14:paraId="581ABEFA" w14:textId="203B54AB" w:rsidR="005E2E32" w:rsidRPr="000B7901" w:rsidRDefault="005E2E32" w:rsidP="005E2E32">
            <w:pPr>
              <w:pStyle w:val="TableLeftText"/>
              <w:jc w:val="center"/>
              <w:cnfStyle w:val="000000100000" w:firstRow="0" w:lastRow="0" w:firstColumn="0" w:lastColumn="0" w:oddVBand="0" w:evenVBand="0" w:oddHBand="1" w:evenHBand="0" w:firstRowFirstColumn="0" w:firstRowLastColumn="0" w:lastRowFirstColumn="0" w:lastRowLastColumn="0"/>
            </w:pPr>
            <w:r w:rsidRPr="005E2E32">
              <w:t>30%</w:t>
            </w:r>
          </w:p>
        </w:tc>
      </w:tr>
      <w:tr w:rsidR="005E2E32" w14:paraId="17D8982D" w14:textId="77777777" w:rsidTr="005E2E32">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2241BB2E" w14:textId="7661FD95" w:rsidR="005E2E32" w:rsidRPr="00625570" w:rsidRDefault="005E2E32" w:rsidP="005E2E32">
            <w:pPr>
              <w:pStyle w:val="TableLeftText"/>
            </w:pPr>
            <w:r>
              <w:t>Hot-Dry</w:t>
            </w:r>
          </w:p>
        </w:tc>
        <w:tc>
          <w:tcPr>
            <w:tcW w:w="1644" w:type="dxa"/>
          </w:tcPr>
          <w:p w14:paraId="4EB697E5" w14:textId="18045F01" w:rsidR="005E2E32" w:rsidRPr="000B7901" w:rsidRDefault="005E2E32" w:rsidP="005E2E32">
            <w:pPr>
              <w:pStyle w:val="TableLeftText"/>
              <w:jc w:val="center"/>
              <w:cnfStyle w:val="000000010000" w:firstRow="0" w:lastRow="0" w:firstColumn="0" w:lastColumn="0" w:oddVBand="0" w:evenVBand="0" w:oddHBand="0" w:evenHBand="1" w:firstRowFirstColumn="0" w:firstRowLastColumn="0" w:lastRowFirstColumn="0" w:lastRowLastColumn="0"/>
            </w:pPr>
            <w:r w:rsidRPr="005E2E32">
              <w:t>6,665,616</w:t>
            </w:r>
          </w:p>
        </w:tc>
        <w:tc>
          <w:tcPr>
            <w:tcW w:w="1644" w:type="dxa"/>
          </w:tcPr>
          <w:p w14:paraId="4DEE1145" w14:textId="6140A3B9" w:rsidR="005E2E32" w:rsidRPr="000B7901" w:rsidRDefault="005E2E32" w:rsidP="005E2E32">
            <w:pPr>
              <w:pStyle w:val="TableLeftText"/>
              <w:jc w:val="center"/>
              <w:cnfStyle w:val="000000010000" w:firstRow="0" w:lastRow="0" w:firstColumn="0" w:lastColumn="0" w:oddVBand="0" w:evenVBand="0" w:oddHBand="0" w:evenHBand="1" w:firstRowFirstColumn="0" w:firstRowLastColumn="0" w:lastRowFirstColumn="0" w:lastRowLastColumn="0"/>
            </w:pPr>
            <w:r w:rsidRPr="005E2E32">
              <w:t>71%</w:t>
            </w:r>
          </w:p>
        </w:tc>
        <w:tc>
          <w:tcPr>
            <w:tcW w:w="1644" w:type="dxa"/>
          </w:tcPr>
          <w:p w14:paraId="41195F2E" w14:textId="50CA114F" w:rsidR="005E2E32" w:rsidRPr="000B7901" w:rsidRDefault="005E2E32" w:rsidP="005E2E32">
            <w:pPr>
              <w:pStyle w:val="TableLeftText"/>
              <w:jc w:val="center"/>
              <w:cnfStyle w:val="000000010000" w:firstRow="0" w:lastRow="0" w:firstColumn="0" w:lastColumn="0" w:oddVBand="0" w:evenVBand="0" w:oddHBand="0" w:evenHBand="1" w:firstRowFirstColumn="0" w:firstRowLastColumn="0" w:lastRowFirstColumn="0" w:lastRowLastColumn="0"/>
            </w:pPr>
            <w:r w:rsidRPr="005E2E32">
              <w:t>3,138,536</w:t>
            </w:r>
          </w:p>
        </w:tc>
        <w:tc>
          <w:tcPr>
            <w:tcW w:w="1644" w:type="dxa"/>
          </w:tcPr>
          <w:p w14:paraId="05653CC2" w14:textId="72E638A0" w:rsidR="005E2E32" w:rsidRPr="000B7901" w:rsidRDefault="005E2E32" w:rsidP="005E2E32">
            <w:pPr>
              <w:pStyle w:val="TableLeftText"/>
              <w:jc w:val="center"/>
              <w:cnfStyle w:val="000000010000" w:firstRow="0" w:lastRow="0" w:firstColumn="0" w:lastColumn="0" w:oddVBand="0" w:evenVBand="0" w:oddHBand="0" w:evenHBand="1" w:firstRowFirstColumn="0" w:firstRowLastColumn="0" w:lastRowFirstColumn="0" w:lastRowLastColumn="0"/>
            </w:pPr>
            <w:r w:rsidRPr="005E2E32">
              <w:t>69%</w:t>
            </w:r>
          </w:p>
        </w:tc>
      </w:tr>
      <w:tr w:rsidR="005E2E32" w14:paraId="220DD5F9" w14:textId="77777777" w:rsidTr="005E2E32">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6B52A493" w14:textId="6D2D990D" w:rsidR="005E2E32" w:rsidRPr="00625570" w:rsidRDefault="00C042CC" w:rsidP="005E2E32">
            <w:pPr>
              <w:pStyle w:val="TableLeftText"/>
            </w:pPr>
            <w:r>
              <w:t>Cold</w:t>
            </w:r>
          </w:p>
        </w:tc>
        <w:tc>
          <w:tcPr>
            <w:tcW w:w="1644" w:type="dxa"/>
          </w:tcPr>
          <w:p w14:paraId="5C809E60" w14:textId="67AD5CFA" w:rsidR="005E2E32" w:rsidRPr="000B7901" w:rsidRDefault="005E2E32" w:rsidP="005E2E32">
            <w:pPr>
              <w:pStyle w:val="TableLeftText"/>
              <w:jc w:val="center"/>
              <w:cnfStyle w:val="000000100000" w:firstRow="0" w:lastRow="0" w:firstColumn="0" w:lastColumn="0" w:oddVBand="0" w:evenVBand="0" w:oddHBand="1" w:evenHBand="0" w:firstRowFirstColumn="0" w:firstRowLastColumn="0" w:lastRowFirstColumn="0" w:lastRowLastColumn="0"/>
            </w:pPr>
            <w:r w:rsidRPr="005E2E32">
              <w:t>160,587</w:t>
            </w:r>
          </w:p>
        </w:tc>
        <w:tc>
          <w:tcPr>
            <w:tcW w:w="1644" w:type="dxa"/>
          </w:tcPr>
          <w:p w14:paraId="4D48B632" w14:textId="34C84594" w:rsidR="005E2E32" w:rsidRPr="000B7901" w:rsidRDefault="005E2E32" w:rsidP="005E2E32">
            <w:pPr>
              <w:pStyle w:val="TableLeftText"/>
              <w:jc w:val="center"/>
              <w:cnfStyle w:val="000000100000" w:firstRow="0" w:lastRow="0" w:firstColumn="0" w:lastColumn="0" w:oddVBand="0" w:evenVBand="0" w:oddHBand="1" w:evenHBand="0" w:firstRowFirstColumn="0" w:firstRowLastColumn="0" w:lastRowFirstColumn="0" w:lastRowLastColumn="0"/>
            </w:pPr>
            <w:r w:rsidRPr="005E2E32">
              <w:t>2%</w:t>
            </w:r>
          </w:p>
        </w:tc>
        <w:tc>
          <w:tcPr>
            <w:tcW w:w="1644" w:type="dxa"/>
          </w:tcPr>
          <w:p w14:paraId="79827686" w14:textId="00A63F69" w:rsidR="005E2E32" w:rsidRPr="000B7901" w:rsidRDefault="005E2E32" w:rsidP="005E2E32">
            <w:pPr>
              <w:pStyle w:val="TableLeftText"/>
              <w:jc w:val="center"/>
              <w:cnfStyle w:val="000000100000" w:firstRow="0" w:lastRow="0" w:firstColumn="0" w:lastColumn="0" w:oddVBand="0" w:evenVBand="0" w:oddHBand="1" w:evenHBand="0" w:firstRowFirstColumn="0" w:firstRowLastColumn="0" w:lastRowFirstColumn="0" w:lastRowLastColumn="0"/>
            </w:pPr>
            <w:r w:rsidRPr="005E2E32">
              <w:t>38,423</w:t>
            </w:r>
          </w:p>
        </w:tc>
        <w:tc>
          <w:tcPr>
            <w:tcW w:w="1644" w:type="dxa"/>
          </w:tcPr>
          <w:p w14:paraId="1D09F522" w14:textId="6B146E61" w:rsidR="005E2E32" w:rsidRPr="000B7901" w:rsidRDefault="005E2E32" w:rsidP="005E2E32">
            <w:pPr>
              <w:pStyle w:val="TableLeftText"/>
              <w:jc w:val="center"/>
              <w:cnfStyle w:val="000000100000" w:firstRow="0" w:lastRow="0" w:firstColumn="0" w:lastColumn="0" w:oddVBand="0" w:evenVBand="0" w:oddHBand="1" w:evenHBand="0" w:firstRowFirstColumn="0" w:firstRowLastColumn="0" w:lastRowFirstColumn="0" w:lastRowLastColumn="0"/>
            </w:pPr>
            <w:r w:rsidRPr="005E2E32">
              <w:t>1%</w:t>
            </w:r>
          </w:p>
        </w:tc>
      </w:tr>
      <w:tr w:rsidR="005E2E32" w14:paraId="323F3276" w14:textId="77777777" w:rsidTr="0046526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6827C658" w14:textId="77777777" w:rsidR="005E2E32" w:rsidRPr="001A2AF7" w:rsidRDefault="005E2E32" w:rsidP="0046526C">
            <w:pPr>
              <w:pStyle w:val="TableTextLeftMedium"/>
            </w:pPr>
            <w:r>
              <w:t>Total</w:t>
            </w:r>
          </w:p>
        </w:tc>
        <w:tc>
          <w:tcPr>
            <w:tcW w:w="1644" w:type="dxa"/>
          </w:tcPr>
          <w:p w14:paraId="58F116D4" w14:textId="77777777" w:rsidR="005E2E32" w:rsidRPr="004C1D58" w:rsidRDefault="005E2E32" w:rsidP="0046526C">
            <w:pPr>
              <w:pStyle w:val="TableLeftTex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C1D58">
              <w:rPr>
                <w:rFonts w:asciiTheme="majorHAnsi" w:hAnsiTheme="majorHAnsi"/>
              </w:rPr>
              <w:t>9,435,541</w:t>
            </w:r>
          </w:p>
        </w:tc>
        <w:tc>
          <w:tcPr>
            <w:tcW w:w="1644" w:type="dxa"/>
          </w:tcPr>
          <w:p w14:paraId="34059C55" w14:textId="77777777" w:rsidR="005E2E32" w:rsidRPr="004C1D58" w:rsidRDefault="005E2E32" w:rsidP="0046526C">
            <w:pPr>
              <w:pStyle w:val="TableLeftTex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C1D58">
              <w:rPr>
                <w:rFonts w:asciiTheme="majorHAnsi" w:hAnsiTheme="majorHAnsi"/>
              </w:rPr>
              <w:t>100%</w:t>
            </w:r>
          </w:p>
        </w:tc>
        <w:tc>
          <w:tcPr>
            <w:tcW w:w="1644" w:type="dxa"/>
          </w:tcPr>
          <w:p w14:paraId="564B3022" w14:textId="77777777" w:rsidR="005E2E32" w:rsidRPr="004C1D58" w:rsidRDefault="005E2E32" w:rsidP="0046526C">
            <w:pPr>
              <w:pStyle w:val="TableLeftTex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C1D58">
              <w:rPr>
                <w:rFonts w:asciiTheme="majorHAnsi" w:hAnsiTheme="majorHAnsi"/>
              </w:rPr>
              <w:t>4,570,770</w:t>
            </w:r>
          </w:p>
        </w:tc>
        <w:tc>
          <w:tcPr>
            <w:tcW w:w="1644" w:type="dxa"/>
          </w:tcPr>
          <w:p w14:paraId="1D827E97" w14:textId="77777777" w:rsidR="005E2E32" w:rsidRPr="004C1D58" w:rsidRDefault="005E2E32" w:rsidP="0046526C">
            <w:pPr>
              <w:pStyle w:val="TableLeftTex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C1D58">
              <w:rPr>
                <w:rFonts w:asciiTheme="majorHAnsi" w:hAnsiTheme="majorHAnsi"/>
              </w:rPr>
              <w:t>100%</w:t>
            </w:r>
          </w:p>
        </w:tc>
      </w:tr>
    </w:tbl>
    <w:p w14:paraId="3D7F96E9" w14:textId="29441157" w:rsidR="005E2E32" w:rsidRPr="009B0103" w:rsidRDefault="005E2E32" w:rsidP="005E2E32">
      <w:pPr>
        <w:spacing w:after="0"/>
        <w:ind w:left="1440"/>
        <w:rPr>
          <w:i/>
          <w:iCs/>
          <w:sz w:val="18"/>
          <w:szCs w:val="18"/>
        </w:rPr>
      </w:pPr>
      <w:r>
        <w:rPr>
          <w:i/>
          <w:iCs/>
          <w:sz w:val="18"/>
          <w:szCs w:val="18"/>
        </w:rPr>
        <w:t>Notes: The CEC used 2022 housing stock data from Moody</w:t>
      </w:r>
      <w:r w:rsidR="00172059">
        <w:rPr>
          <w:i/>
          <w:iCs/>
          <w:sz w:val="18"/>
          <w:szCs w:val="18"/>
        </w:rPr>
        <w:t>'</w:t>
      </w:r>
      <w:r>
        <w:rPr>
          <w:i/>
          <w:iCs/>
          <w:sz w:val="18"/>
          <w:szCs w:val="18"/>
        </w:rPr>
        <w:t>s and aligned it with the Title 24 Building Climate Zones</w:t>
      </w:r>
      <w:r>
        <w:rPr>
          <w:i/>
          <w:iCs/>
          <w:sz w:val="18"/>
          <w:szCs w:val="18"/>
        </w:rPr>
        <w:br/>
      </w:r>
      <w:r w:rsidRPr="009B0103">
        <w:rPr>
          <w:i/>
          <w:iCs/>
          <w:sz w:val="18"/>
          <w:szCs w:val="18"/>
        </w:rPr>
        <w:t>Source:</w:t>
      </w:r>
      <w:r>
        <w:rPr>
          <w:i/>
          <w:iCs/>
          <w:sz w:val="18"/>
          <w:szCs w:val="18"/>
        </w:rPr>
        <w:t xml:space="preserve"> California Energy Commission</w:t>
      </w:r>
    </w:p>
    <w:p w14:paraId="22F3F98F" w14:textId="77777777" w:rsidR="00EB1EC2" w:rsidRDefault="00EB1EC2" w:rsidP="00A40EF4"/>
    <w:p w14:paraId="6DC41ECA" w14:textId="4901D3D1" w:rsidR="00993B54" w:rsidRPr="00A40EF4" w:rsidRDefault="00993B54" w:rsidP="00A40EF4">
      <w:r>
        <w:lastRenderedPageBreak/>
        <w:t xml:space="preserve">For the </w:t>
      </w:r>
      <w:r w:rsidR="00E06617">
        <w:t xml:space="preserve">nonresidential </w:t>
      </w:r>
      <w:r>
        <w:t>sector, the team used statewide floor space estimates from the 2021 Commercial End-Use Survey</w:t>
      </w:r>
      <w:r w:rsidR="00406D44">
        <w:t xml:space="preserve"> (CEUS)</w:t>
      </w:r>
      <w:r>
        <w:t xml:space="preserve"> to calculate the proportion of floor space represented by various building types statewide</w:t>
      </w:r>
      <w:r w:rsidR="00406D44">
        <w:t xml:space="preserve"> (</w:t>
      </w:r>
      <w:r w:rsidR="00406D44">
        <w:fldChar w:fldCharType="begin"/>
      </w:r>
      <w:r w:rsidR="00406D44">
        <w:instrText xml:space="preserve"> REF _Ref158126552 \h </w:instrText>
      </w:r>
      <w:r w:rsidR="00406D44">
        <w:fldChar w:fldCharType="separate"/>
      </w:r>
      <w:r w:rsidR="004C1D58">
        <w:t xml:space="preserve">Table </w:t>
      </w:r>
      <w:r w:rsidR="004C1D58">
        <w:rPr>
          <w:noProof/>
        </w:rPr>
        <w:t>5</w:t>
      </w:r>
      <w:r w:rsidR="00406D44">
        <w:fldChar w:fldCharType="end"/>
      </w:r>
      <w:r w:rsidR="00406D44">
        <w:t>)</w:t>
      </w:r>
      <w:r>
        <w:t xml:space="preserve">. </w:t>
      </w:r>
      <w:r w:rsidR="00172059">
        <w:t>Compared to the square footages within each scenario and building type in our sample, the team used these proportions</w:t>
      </w:r>
      <w:r w:rsidR="008A05EF">
        <w:t xml:space="preserve"> to develop weighted statewide estimates for each fuel substitution scenario</w:t>
      </w:r>
      <w:r>
        <w:t xml:space="preserve">. </w:t>
      </w:r>
    </w:p>
    <w:p w14:paraId="18D573B8" w14:textId="283703F7" w:rsidR="005E2E32" w:rsidRDefault="005E2E32" w:rsidP="005E2E32">
      <w:pPr>
        <w:pStyle w:val="Caption"/>
        <w:spacing w:before="240"/>
      </w:pPr>
      <w:bookmarkStart w:id="4" w:name="_Ref158126552"/>
      <w:r>
        <w:t xml:space="preserve">Table </w:t>
      </w:r>
      <w:r>
        <w:fldChar w:fldCharType="begin"/>
      </w:r>
      <w:r>
        <w:instrText xml:space="preserve"> SEQ Table \* ARABIC </w:instrText>
      </w:r>
      <w:r>
        <w:fldChar w:fldCharType="separate"/>
      </w:r>
      <w:r w:rsidR="004C1D58">
        <w:rPr>
          <w:noProof/>
        </w:rPr>
        <w:t>5</w:t>
      </w:r>
      <w:r>
        <w:rPr>
          <w:noProof/>
        </w:rPr>
        <w:fldChar w:fldCharType="end"/>
      </w:r>
      <w:bookmarkEnd w:id="4"/>
      <w:r>
        <w:t>. 2021 CEUS Floor Space Stock by Building Type</w:t>
      </w:r>
    </w:p>
    <w:tbl>
      <w:tblPr>
        <w:tblStyle w:val="ODCBasic-1"/>
        <w:tblW w:w="0" w:type="auto"/>
        <w:tblLayout w:type="fixed"/>
        <w:tblCellMar>
          <w:top w:w="0" w:type="dxa"/>
          <w:bottom w:w="14" w:type="dxa"/>
        </w:tblCellMar>
        <w:tblLook w:val="04A0" w:firstRow="1" w:lastRow="0" w:firstColumn="1" w:lastColumn="0" w:noHBand="0" w:noVBand="1"/>
      </w:tblPr>
      <w:tblGrid>
        <w:gridCol w:w="2836"/>
        <w:gridCol w:w="1644"/>
        <w:gridCol w:w="1644"/>
      </w:tblGrid>
      <w:tr w:rsidR="00406D44" w14:paraId="4E3C4739" w14:textId="77777777" w:rsidTr="0046526C">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836" w:type="dxa"/>
            <w:tcBorders>
              <w:bottom w:val="single" w:sz="4" w:space="0" w:color="4A4D56" w:themeColor="text1"/>
              <w:right w:val="single" w:sz="4" w:space="0" w:color="4A4D56" w:themeColor="text1"/>
            </w:tcBorders>
          </w:tcPr>
          <w:p w14:paraId="4FC5182F" w14:textId="7FC9D94D" w:rsidR="00406D44" w:rsidRPr="00625570" w:rsidRDefault="00406D44" w:rsidP="0046526C">
            <w:pPr>
              <w:pStyle w:val="TableHeadingLeft"/>
            </w:pPr>
            <w:r>
              <w:t>2021 CEUS Building Type</w:t>
            </w:r>
          </w:p>
        </w:tc>
        <w:tc>
          <w:tcPr>
            <w:tcW w:w="1644" w:type="dxa"/>
            <w:tcBorders>
              <w:left w:val="single" w:sz="4" w:space="0" w:color="4A4D56" w:themeColor="text1"/>
              <w:bottom w:val="single" w:sz="4" w:space="0" w:color="4A4D56" w:themeColor="text1"/>
              <w:right w:val="single" w:sz="4" w:space="0" w:color="4A4D56" w:themeColor="text1"/>
            </w:tcBorders>
          </w:tcPr>
          <w:p w14:paraId="573DA1B5" w14:textId="7D6B2496" w:rsidR="00406D44" w:rsidRPr="00625570" w:rsidRDefault="00406D44" w:rsidP="0046526C">
            <w:pPr>
              <w:pStyle w:val="TableHeadingCentered"/>
              <w:cnfStyle w:val="100000000000" w:firstRow="1" w:lastRow="0" w:firstColumn="0" w:lastColumn="0" w:oddVBand="0" w:evenVBand="0" w:oddHBand="0" w:evenHBand="0" w:firstRowFirstColumn="0" w:firstRowLastColumn="0" w:lastRowFirstColumn="0" w:lastRowLastColumn="0"/>
            </w:pPr>
            <w:r>
              <w:t>Square Feet (10^6)</w:t>
            </w:r>
          </w:p>
        </w:tc>
        <w:tc>
          <w:tcPr>
            <w:tcW w:w="1644" w:type="dxa"/>
            <w:tcBorders>
              <w:left w:val="single" w:sz="4" w:space="0" w:color="4A4D56" w:themeColor="text1"/>
              <w:bottom w:val="single" w:sz="4" w:space="0" w:color="4A4D56" w:themeColor="text1"/>
              <w:right w:val="single" w:sz="4" w:space="0" w:color="4A4D56" w:themeColor="text1"/>
            </w:tcBorders>
          </w:tcPr>
          <w:p w14:paraId="72718666" w14:textId="594B22D9" w:rsidR="00406D44" w:rsidRPr="00625570" w:rsidRDefault="00406D44" w:rsidP="0046526C">
            <w:pPr>
              <w:pStyle w:val="TableHeadingCentered"/>
              <w:cnfStyle w:val="100000000000" w:firstRow="1" w:lastRow="0" w:firstColumn="0" w:lastColumn="0" w:oddVBand="0" w:evenVBand="0" w:oddHBand="0" w:evenHBand="0" w:firstRowFirstColumn="0" w:firstRowLastColumn="0" w:lastRowFirstColumn="0" w:lastRowLastColumn="0"/>
            </w:pPr>
            <w:r>
              <w:t>Proportion</w:t>
            </w:r>
          </w:p>
        </w:tc>
      </w:tr>
      <w:tr w:rsidR="00406D44" w14:paraId="30495289" w14:textId="77777777" w:rsidTr="00406D44">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Borders>
              <w:top w:val="single" w:sz="4" w:space="0" w:color="4A4D56" w:themeColor="text1"/>
            </w:tcBorders>
          </w:tcPr>
          <w:p w14:paraId="7985358A" w14:textId="70C932AE" w:rsidR="00406D44" w:rsidRPr="00625570" w:rsidRDefault="00406D44" w:rsidP="00406D44">
            <w:pPr>
              <w:pStyle w:val="TableLeftText"/>
            </w:pPr>
            <w:r>
              <w:t>Restaurant</w:t>
            </w:r>
          </w:p>
        </w:tc>
        <w:tc>
          <w:tcPr>
            <w:tcW w:w="1644" w:type="dxa"/>
            <w:tcBorders>
              <w:top w:val="single" w:sz="4" w:space="0" w:color="4A4D56" w:themeColor="text1"/>
            </w:tcBorders>
          </w:tcPr>
          <w:p w14:paraId="0663D530" w14:textId="2AE35EF1" w:rsidR="00406D44" w:rsidRPr="000B7901" w:rsidRDefault="00406D44" w:rsidP="00406D44">
            <w:pPr>
              <w:pStyle w:val="TableLeftText"/>
              <w:jc w:val="center"/>
              <w:cnfStyle w:val="000000100000" w:firstRow="0" w:lastRow="0" w:firstColumn="0" w:lastColumn="0" w:oddVBand="0" w:evenVBand="0" w:oddHBand="1" w:evenHBand="0" w:firstRowFirstColumn="0" w:firstRowLastColumn="0" w:lastRowFirstColumn="0" w:lastRowLastColumn="0"/>
            </w:pPr>
            <w:r w:rsidRPr="00406D44">
              <w:t>186.7</w:t>
            </w:r>
          </w:p>
        </w:tc>
        <w:tc>
          <w:tcPr>
            <w:tcW w:w="1644" w:type="dxa"/>
            <w:tcBorders>
              <w:top w:val="single" w:sz="4" w:space="0" w:color="4A4D56" w:themeColor="text1"/>
            </w:tcBorders>
          </w:tcPr>
          <w:p w14:paraId="3EF65533" w14:textId="2FFFEF3D" w:rsidR="00406D44" w:rsidRPr="000B7901" w:rsidRDefault="00406D44" w:rsidP="00406D44">
            <w:pPr>
              <w:pStyle w:val="TableLeftText"/>
              <w:jc w:val="center"/>
              <w:cnfStyle w:val="000000100000" w:firstRow="0" w:lastRow="0" w:firstColumn="0" w:lastColumn="0" w:oddVBand="0" w:evenVBand="0" w:oddHBand="1" w:evenHBand="0" w:firstRowFirstColumn="0" w:firstRowLastColumn="0" w:lastRowFirstColumn="0" w:lastRowLastColumn="0"/>
            </w:pPr>
            <w:r w:rsidRPr="00406D44">
              <w:t>3%</w:t>
            </w:r>
          </w:p>
        </w:tc>
      </w:tr>
      <w:tr w:rsidR="00406D44" w14:paraId="439658EB" w14:textId="77777777" w:rsidTr="00406D44">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07F02804" w14:textId="2A4F8216" w:rsidR="00406D44" w:rsidRPr="00625570" w:rsidRDefault="00406D44" w:rsidP="00406D44">
            <w:pPr>
              <w:pStyle w:val="TableLeftText"/>
            </w:pPr>
            <w:r>
              <w:t>Retail</w:t>
            </w:r>
          </w:p>
        </w:tc>
        <w:tc>
          <w:tcPr>
            <w:tcW w:w="1644" w:type="dxa"/>
          </w:tcPr>
          <w:p w14:paraId="233BD78E" w14:textId="698BED3E" w:rsidR="00406D44" w:rsidRPr="000B7901" w:rsidRDefault="00406D44" w:rsidP="00406D44">
            <w:pPr>
              <w:pStyle w:val="TableLeftText"/>
              <w:jc w:val="center"/>
              <w:cnfStyle w:val="000000010000" w:firstRow="0" w:lastRow="0" w:firstColumn="0" w:lastColumn="0" w:oddVBand="0" w:evenVBand="0" w:oddHBand="0" w:evenHBand="1" w:firstRowFirstColumn="0" w:firstRowLastColumn="0" w:lastRowFirstColumn="0" w:lastRowLastColumn="0"/>
            </w:pPr>
            <w:r w:rsidRPr="00406D44">
              <w:t>1,145.4</w:t>
            </w:r>
          </w:p>
        </w:tc>
        <w:tc>
          <w:tcPr>
            <w:tcW w:w="1644" w:type="dxa"/>
          </w:tcPr>
          <w:p w14:paraId="49C91B9B" w14:textId="0889B20F" w:rsidR="00406D44" w:rsidRPr="000B7901" w:rsidRDefault="00406D44" w:rsidP="00406D44">
            <w:pPr>
              <w:pStyle w:val="TableLeftText"/>
              <w:jc w:val="center"/>
              <w:cnfStyle w:val="000000010000" w:firstRow="0" w:lastRow="0" w:firstColumn="0" w:lastColumn="0" w:oddVBand="0" w:evenVBand="0" w:oddHBand="0" w:evenHBand="1" w:firstRowFirstColumn="0" w:firstRowLastColumn="0" w:lastRowFirstColumn="0" w:lastRowLastColumn="0"/>
            </w:pPr>
            <w:r w:rsidRPr="00406D44">
              <w:t>15%</w:t>
            </w:r>
          </w:p>
        </w:tc>
      </w:tr>
      <w:tr w:rsidR="00406D44" w14:paraId="06A0B5AC" w14:textId="77777777" w:rsidTr="00406D44">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79DE0310" w14:textId="3E9161FB" w:rsidR="00406D44" w:rsidRPr="00625570" w:rsidRDefault="00406D44" w:rsidP="00406D44">
            <w:pPr>
              <w:pStyle w:val="TableLeftText"/>
            </w:pPr>
            <w:r>
              <w:t>Food Stores</w:t>
            </w:r>
          </w:p>
        </w:tc>
        <w:tc>
          <w:tcPr>
            <w:tcW w:w="1644" w:type="dxa"/>
          </w:tcPr>
          <w:p w14:paraId="552878E5" w14:textId="3E05CB6B" w:rsidR="00406D44" w:rsidRPr="000B7901" w:rsidRDefault="00406D44" w:rsidP="00406D44">
            <w:pPr>
              <w:pStyle w:val="TableLeftText"/>
              <w:jc w:val="center"/>
              <w:cnfStyle w:val="000000100000" w:firstRow="0" w:lastRow="0" w:firstColumn="0" w:lastColumn="0" w:oddVBand="0" w:evenVBand="0" w:oddHBand="1" w:evenHBand="0" w:firstRowFirstColumn="0" w:firstRowLastColumn="0" w:lastRowFirstColumn="0" w:lastRowLastColumn="0"/>
            </w:pPr>
            <w:r w:rsidRPr="00406D44">
              <w:t>302.3</w:t>
            </w:r>
          </w:p>
        </w:tc>
        <w:tc>
          <w:tcPr>
            <w:tcW w:w="1644" w:type="dxa"/>
          </w:tcPr>
          <w:p w14:paraId="0CB2BB3E" w14:textId="25809416" w:rsidR="00406D44" w:rsidRPr="000B7901" w:rsidRDefault="00406D44" w:rsidP="00406D44">
            <w:pPr>
              <w:pStyle w:val="TableLeftText"/>
              <w:jc w:val="center"/>
              <w:cnfStyle w:val="000000100000" w:firstRow="0" w:lastRow="0" w:firstColumn="0" w:lastColumn="0" w:oddVBand="0" w:evenVBand="0" w:oddHBand="1" w:evenHBand="0" w:firstRowFirstColumn="0" w:firstRowLastColumn="0" w:lastRowFirstColumn="0" w:lastRowLastColumn="0"/>
            </w:pPr>
            <w:r w:rsidRPr="00406D44">
              <w:t>4%</w:t>
            </w:r>
          </w:p>
        </w:tc>
      </w:tr>
      <w:tr w:rsidR="00406D44" w14:paraId="63413E23" w14:textId="77777777" w:rsidTr="00406D44">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5E6641DA" w14:textId="7A97635D" w:rsidR="00406D44" w:rsidRPr="00625570" w:rsidRDefault="00406D44" w:rsidP="00406D44">
            <w:pPr>
              <w:pStyle w:val="TableLeftText"/>
            </w:pPr>
            <w:r>
              <w:t>School</w:t>
            </w:r>
          </w:p>
        </w:tc>
        <w:tc>
          <w:tcPr>
            <w:tcW w:w="1644" w:type="dxa"/>
          </w:tcPr>
          <w:p w14:paraId="13F93525" w14:textId="2DCE4715" w:rsidR="00406D44" w:rsidRPr="000B7901" w:rsidRDefault="00406D44" w:rsidP="00406D44">
            <w:pPr>
              <w:pStyle w:val="TableLeftText"/>
              <w:jc w:val="center"/>
              <w:cnfStyle w:val="000000010000" w:firstRow="0" w:lastRow="0" w:firstColumn="0" w:lastColumn="0" w:oddVBand="0" w:evenVBand="0" w:oddHBand="0" w:evenHBand="1" w:firstRowFirstColumn="0" w:firstRowLastColumn="0" w:lastRowFirstColumn="0" w:lastRowLastColumn="0"/>
            </w:pPr>
            <w:r w:rsidRPr="00406D44">
              <w:t>579.0</w:t>
            </w:r>
          </w:p>
        </w:tc>
        <w:tc>
          <w:tcPr>
            <w:tcW w:w="1644" w:type="dxa"/>
          </w:tcPr>
          <w:p w14:paraId="5A7883F6" w14:textId="50BDD107" w:rsidR="00406D44" w:rsidRPr="000B7901" w:rsidRDefault="00406D44" w:rsidP="00406D44">
            <w:pPr>
              <w:pStyle w:val="TableLeftText"/>
              <w:jc w:val="center"/>
              <w:cnfStyle w:val="000000010000" w:firstRow="0" w:lastRow="0" w:firstColumn="0" w:lastColumn="0" w:oddVBand="0" w:evenVBand="0" w:oddHBand="0" w:evenHBand="1" w:firstRowFirstColumn="0" w:firstRowLastColumn="0" w:lastRowFirstColumn="0" w:lastRowLastColumn="0"/>
            </w:pPr>
            <w:r w:rsidRPr="00406D44">
              <w:t>8%</w:t>
            </w:r>
          </w:p>
        </w:tc>
      </w:tr>
      <w:tr w:rsidR="00406D44" w14:paraId="27E4DDFD" w14:textId="77777777" w:rsidTr="00406D44">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58F9B87A" w14:textId="6F3456B4" w:rsidR="00406D44" w:rsidRPr="00625570" w:rsidRDefault="00406D44" w:rsidP="00406D44">
            <w:pPr>
              <w:pStyle w:val="TableLeftText"/>
            </w:pPr>
            <w:r>
              <w:t>College</w:t>
            </w:r>
          </w:p>
        </w:tc>
        <w:tc>
          <w:tcPr>
            <w:tcW w:w="1644" w:type="dxa"/>
          </w:tcPr>
          <w:p w14:paraId="7F271282" w14:textId="07DEC9A7" w:rsidR="00406D44" w:rsidRPr="000B7901" w:rsidRDefault="00406D44" w:rsidP="00406D44">
            <w:pPr>
              <w:pStyle w:val="TableLeftText"/>
              <w:jc w:val="center"/>
              <w:cnfStyle w:val="000000100000" w:firstRow="0" w:lastRow="0" w:firstColumn="0" w:lastColumn="0" w:oddVBand="0" w:evenVBand="0" w:oddHBand="1" w:evenHBand="0" w:firstRowFirstColumn="0" w:firstRowLastColumn="0" w:lastRowFirstColumn="0" w:lastRowLastColumn="0"/>
            </w:pPr>
            <w:r w:rsidRPr="00406D44">
              <w:t>305.7</w:t>
            </w:r>
          </w:p>
        </w:tc>
        <w:tc>
          <w:tcPr>
            <w:tcW w:w="1644" w:type="dxa"/>
          </w:tcPr>
          <w:p w14:paraId="18FDFE8A" w14:textId="1D08ECDC" w:rsidR="00406D44" w:rsidRPr="000B7901" w:rsidRDefault="00406D44" w:rsidP="00406D44">
            <w:pPr>
              <w:pStyle w:val="TableLeftText"/>
              <w:jc w:val="center"/>
              <w:cnfStyle w:val="000000100000" w:firstRow="0" w:lastRow="0" w:firstColumn="0" w:lastColumn="0" w:oddVBand="0" w:evenVBand="0" w:oddHBand="1" w:evenHBand="0" w:firstRowFirstColumn="0" w:firstRowLastColumn="0" w:lastRowFirstColumn="0" w:lastRowLastColumn="0"/>
            </w:pPr>
            <w:r w:rsidRPr="00406D44">
              <w:t>4%</w:t>
            </w:r>
          </w:p>
        </w:tc>
      </w:tr>
      <w:tr w:rsidR="00406D44" w14:paraId="36F9B573" w14:textId="77777777" w:rsidTr="00406D44">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1224E9C3" w14:textId="71FB941D" w:rsidR="00406D44" w:rsidRPr="00625570" w:rsidRDefault="00406D44" w:rsidP="00406D44">
            <w:pPr>
              <w:pStyle w:val="TableLeftText"/>
            </w:pPr>
            <w:r>
              <w:t>Health Care</w:t>
            </w:r>
          </w:p>
        </w:tc>
        <w:tc>
          <w:tcPr>
            <w:tcW w:w="1644" w:type="dxa"/>
          </w:tcPr>
          <w:p w14:paraId="2D288FD2" w14:textId="30240695" w:rsidR="00406D44" w:rsidRPr="000B7901" w:rsidRDefault="00406D44" w:rsidP="00406D44">
            <w:pPr>
              <w:pStyle w:val="TableLeftText"/>
              <w:jc w:val="center"/>
              <w:cnfStyle w:val="000000010000" w:firstRow="0" w:lastRow="0" w:firstColumn="0" w:lastColumn="0" w:oddVBand="0" w:evenVBand="0" w:oddHBand="0" w:evenHBand="1" w:firstRowFirstColumn="0" w:firstRowLastColumn="0" w:lastRowFirstColumn="0" w:lastRowLastColumn="0"/>
            </w:pPr>
            <w:r w:rsidRPr="00406D44">
              <w:t>381.8</w:t>
            </w:r>
          </w:p>
        </w:tc>
        <w:tc>
          <w:tcPr>
            <w:tcW w:w="1644" w:type="dxa"/>
          </w:tcPr>
          <w:p w14:paraId="082224B0" w14:textId="7A737C4D" w:rsidR="00406D44" w:rsidRPr="000B7901" w:rsidRDefault="00406D44" w:rsidP="00406D44">
            <w:pPr>
              <w:pStyle w:val="TableLeftText"/>
              <w:jc w:val="center"/>
              <w:cnfStyle w:val="000000010000" w:firstRow="0" w:lastRow="0" w:firstColumn="0" w:lastColumn="0" w:oddVBand="0" w:evenVBand="0" w:oddHBand="0" w:evenHBand="1" w:firstRowFirstColumn="0" w:firstRowLastColumn="0" w:lastRowFirstColumn="0" w:lastRowLastColumn="0"/>
            </w:pPr>
            <w:r w:rsidRPr="00406D44">
              <w:t>5%</w:t>
            </w:r>
          </w:p>
        </w:tc>
      </w:tr>
      <w:tr w:rsidR="00406D44" w14:paraId="034BD417" w14:textId="77777777" w:rsidTr="00406D44">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24B2BEDE" w14:textId="589B01C2" w:rsidR="00406D44" w:rsidRDefault="00406D44" w:rsidP="00406D44">
            <w:pPr>
              <w:pStyle w:val="TableLeftText"/>
            </w:pPr>
            <w:r>
              <w:t>Lodging</w:t>
            </w:r>
          </w:p>
        </w:tc>
        <w:tc>
          <w:tcPr>
            <w:tcW w:w="1644" w:type="dxa"/>
          </w:tcPr>
          <w:p w14:paraId="78510610" w14:textId="0AAF3530" w:rsidR="00406D44" w:rsidRPr="000B7901" w:rsidRDefault="00406D44" w:rsidP="00406D44">
            <w:pPr>
              <w:pStyle w:val="TableLeftText"/>
              <w:jc w:val="center"/>
              <w:cnfStyle w:val="000000100000" w:firstRow="0" w:lastRow="0" w:firstColumn="0" w:lastColumn="0" w:oddVBand="0" w:evenVBand="0" w:oddHBand="1" w:evenHBand="0" w:firstRowFirstColumn="0" w:firstRowLastColumn="0" w:lastRowFirstColumn="0" w:lastRowLastColumn="0"/>
            </w:pPr>
            <w:r w:rsidRPr="00406D44">
              <w:t>358.8</w:t>
            </w:r>
          </w:p>
        </w:tc>
        <w:tc>
          <w:tcPr>
            <w:tcW w:w="1644" w:type="dxa"/>
          </w:tcPr>
          <w:p w14:paraId="57629596" w14:textId="3B7481A5" w:rsidR="00406D44" w:rsidRPr="000B7901" w:rsidRDefault="00406D44" w:rsidP="00406D44">
            <w:pPr>
              <w:pStyle w:val="TableLeftText"/>
              <w:jc w:val="center"/>
              <w:cnfStyle w:val="000000100000" w:firstRow="0" w:lastRow="0" w:firstColumn="0" w:lastColumn="0" w:oddVBand="0" w:evenVBand="0" w:oddHBand="1" w:evenHBand="0" w:firstRowFirstColumn="0" w:firstRowLastColumn="0" w:lastRowFirstColumn="0" w:lastRowLastColumn="0"/>
            </w:pPr>
            <w:r w:rsidRPr="00406D44">
              <w:t>5%</w:t>
            </w:r>
          </w:p>
        </w:tc>
      </w:tr>
      <w:tr w:rsidR="00406D44" w14:paraId="0004862E" w14:textId="77777777" w:rsidTr="00406D44">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0F142C75" w14:textId="3088D79B" w:rsidR="00406D44" w:rsidRDefault="00406D44" w:rsidP="00406D44">
            <w:pPr>
              <w:pStyle w:val="TableLeftText"/>
            </w:pPr>
            <w:r>
              <w:t>Refrigerated Warehouse</w:t>
            </w:r>
          </w:p>
        </w:tc>
        <w:tc>
          <w:tcPr>
            <w:tcW w:w="1644" w:type="dxa"/>
          </w:tcPr>
          <w:p w14:paraId="13FA3D88" w14:textId="2F40C4AE" w:rsidR="00406D44" w:rsidRPr="000B7901" w:rsidRDefault="00406D44" w:rsidP="00406D44">
            <w:pPr>
              <w:pStyle w:val="TableLeftText"/>
              <w:jc w:val="center"/>
              <w:cnfStyle w:val="000000010000" w:firstRow="0" w:lastRow="0" w:firstColumn="0" w:lastColumn="0" w:oddVBand="0" w:evenVBand="0" w:oddHBand="0" w:evenHBand="1" w:firstRowFirstColumn="0" w:firstRowLastColumn="0" w:lastRowFirstColumn="0" w:lastRowLastColumn="0"/>
            </w:pPr>
            <w:r w:rsidRPr="00406D44">
              <w:t>59.3</w:t>
            </w:r>
          </w:p>
        </w:tc>
        <w:tc>
          <w:tcPr>
            <w:tcW w:w="1644" w:type="dxa"/>
          </w:tcPr>
          <w:p w14:paraId="0217374B" w14:textId="7F9E7187" w:rsidR="00406D44" w:rsidRPr="000B7901" w:rsidRDefault="00406D44" w:rsidP="00406D44">
            <w:pPr>
              <w:pStyle w:val="TableLeftText"/>
              <w:jc w:val="center"/>
              <w:cnfStyle w:val="000000010000" w:firstRow="0" w:lastRow="0" w:firstColumn="0" w:lastColumn="0" w:oddVBand="0" w:evenVBand="0" w:oddHBand="0" w:evenHBand="1" w:firstRowFirstColumn="0" w:firstRowLastColumn="0" w:lastRowFirstColumn="0" w:lastRowLastColumn="0"/>
            </w:pPr>
            <w:r w:rsidRPr="00406D44">
              <w:t>1%</w:t>
            </w:r>
          </w:p>
        </w:tc>
      </w:tr>
      <w:tr w:rsidR="00406D44" w14:paraId="0CE5D733" w14:textId="77777777" w:rsidTr="00406D44">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489C3208" w14:textId="751DD93A" w:rsidR="00406D44" w:rsidRDefault="00406D44" w:rsidP="00406D44">
            <w:pPr>
              <w:pStyle w:val="TableLeftText"/>
            </w:pPr>
            <w:r>
              <w:t>Warehouse</w:t>
            </w:r>
          </w:p>
        </w:tc>
        <w:tc>
          <w:tcPr>
            <w:tcW w:w="1644" w:type="dxa"/>
          </w:tcPr>
          <w:p w14:paraId="2B3833E7" w14:textId="633CE06E" w:rsidR="00406D44" w:rsidRPr="000B7901" w:rsidRDefault="00406D44" w:rsidP="00406D44">
            <w:pPr>
              <w:pStyle w:val="TableLeftText"/>
              <w:jc w:val="center"/>
              <w:cnfStyle w:val="000000100000" w:firstRow="0" w:lastRow="0" w:firstColumn="0" w:lastColumn="0" w:oddVBand="0" w:evenVBand="0" w:oddHBand="1" w:evenHBand="0" w:firstRowFirstColumn="0" w:firstRowLastColumn="0" w:lastRowFirstColumn="0" w:lastRowLastColumn="0"/>
            </w:pPr>
            <w:r w:rsidRPr="00406D44">
              <w:t>1,091.8</w:t>
            </w:r>
          </w:p>
        </w:tc>
        <w:tc>
          <w:tcPr>
            <w:tcW w:w="1644" w:type="dxa"/>
          </w:tcPr>
          <w:p w14:paraId="262BE1D6" w14:textId="7C763908" w:rsidR="00406D44" w:rsidRPr="000B7901" w:rsidRDefault="00406D44" w:rsidP="00406D44">
            <w:pPr>
              <w:pStyle w:val="TableLeftText"/>
              <w:jc w:val="center"/>
              <w:cnfStyle w:val="000000100000" w:firstRow="0" w:lastRow="0" w:firstColumn="0" w:lastColumn="0" w:oddVBand="0" w:evenVBand="0" w:oddHBand="1" w:evenHBand="0" w:firstRowFirstColumn="0" w:firstRowLastColumn="0" w:lastRowFirstColumn="0" w:lastRowLastColumn="0"/>
            </w:pPr>
            <w:r w:rsidRPr="00406D44">
              <w:t>15%</w:t>
            </w:r>
          </w:p>
        </w:tc>
      </w:tr>
      <w:tr w:rsidR="00406D44" w14:paraId="105D5A0D" w14:textId="77777777" w:rsidTr="00406D44">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687D7C84" w14:textId="08E32960" w:rsidR="00406D44" w:rsidRDefault="00406D44" w:rsidP="00406D44">
            <w:pPr>
              <w:pStyle w:val="TableLeftText"/>
            </w:pPr>
            <w:r>
              <w:t>Miscellaneous</w:t>
            </w:r>
          </w:p>
        </w:tc>
        <w:tc>
          <w:tcPr>
            <w:tcW w:w="1644" w:type="dxa"/>
          </w:tcPr>
          <w:p w14:paraId="311ECE9D" w14:textId="5009D830" w:rsidR="00406D44" w:rsidRPr="000B7901" w:rsidRDefault="00406D44" w:rsidP="00406D44">
            <w:pPr>
              <w:pStyle w:val="TableLeftText"/>
              <w:jc w:val="center"/>
              <w:cnfStyle w:val="000000010000" w:firstRow="0" w:lastRow="0" w:firstColumn="0" w:lastColumn="0" w:oddVBand="0" w:evenVBand="0" w:oddHBand="0" w:evenHBand="1" w:firstRowFirstColumn="0" w:firstRowLastColumn="0" w:lastRowFirstColumn="0" w:lastRowLastColumn="0"/>
            </w:pPr>
            <w:r w:rsidRPr="00406D44">
              <w:t>1,380.3</w:t>
            </w:r>
          </w:p>
        </w:tc>
        <w:tc>
          <w:tcPr>
            <w:tcW w:w="1644" w:type="dxa"/>
          </w:tcPr>
          <w:p w14:paraId="05E91DC7" w14:textId="5E76E4CF" w:rsidR="00406D44" w:rsidRPr="000B7901" w:rsidRDefault="00406D44" w:rsidP="00406D44">
            <w:pPr>
              <w:pStyle w:val="TableLeftText"/>
              <w:jc w:val="center"/>
              <w:cnfStyle w:val="000000010000" w:firstRow="0" w:lastRow="0" w:firstColumn="0" w:lastColumn="0" w:oddVBand="0" w:evenVBand="0" w:oddHBand="0" w:evenHBand="1" w:firstRowFirstColumn="0" w:firstRowLastColumn="0" w:lastRowFirstColumn="0" w:lastRowLastColumn="0"/>
            </w:pPr>
            <w:r w:rsidRPr="00406D44">
              <w:t>19%</w:t>
            </w:r>
          </w:p>
        </w:tc>
      </w:tr>
      <w:tr w:rsidR="00406D44" w14:paraId="00928CCB" w14:textId="77777777" w:rsidTr="00406D44">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685466F5" w14:textId="5E374283" w:rsidR="00406D44" w:rsidRDefault="00406D44" w:rsidP="00406D44">
            <w:pPr>
              <w:pStyle w:val="TableLeftText"/>
            </w:pPr>
            <w:r>
              <w:t>Office, Large</w:t>
            </w:r>
          </w:p>
        </w:tc>
        <w:tc>
          <w:tcPr>
            <w:tcW w:w="1644" w:type="dxa"/>
          </w:tcPr>
          <w:p w14:paraId="08FEB4BA" w14:textId="3305607F" w:rsidR="00406D44" w:rsidRPr="000B7901" w:rsidRDefault="00406D44" w:rsidP="00406D44">
            <w:pPr>
              <w:pStyle w:val="TableLeftText"/>
              <w:jc w:val="center"/>
              <w:cnfStyle w:val="000000100000" w:firstRow="0" w:lastRow="0" w:firstColumn="0" w:lastColumn="0" w:oddVBand="0" w:evenVBand="0" w:oddHBand="1" w:evenHBand="0" w:firstRowFirstColumn="0" w:firstRowLastColumn="0" w:lastRowFirstColumn="0" w:lastRowLastColumn="0"/>
            </w:pPr>
            <w:r w:rsidRPr="00406D44">
              <w:t>1,288.9</w:t>
            </w:r>
          </w:p>
        </w:tc>
        <w:tc>
          <w:tcPr>
            <w:tcW w:w="1644" w:type="dxa"/>
          </w:tcPr>
          <w:p w14:paraId="2E67F061" w14:textId="1234D19D" w:rsidR="00406D44" w:rsidRPr="000B7901" w:rsidRDefault="00406D44" w:rsidP="00406D44">
            <w:pPr>
              <w:pStyle w:val="TableLeftText"/>
              <w:jc w:val="center"/>
              <w:cnfStyle w:val="000000100000" w:firstRow="0" w:lastRow="0" w:firstColumn="0" w:lastColumn="0" w:oddVBand="0" w:evenVBand="0" w:oddHBand="1" w:evenHBand="0" w:firstRowFirstColumn="0" w:firstRowLastColumn="0" w:lastRowFirstColumn="0" w:lastRowLastColumn="0"/>
            </w:pPr>
            <w:r w:rsidRPr="00406D44">
              <w:t>17%</w:t>
            </w:r>
          </w:p>
        </w:tc>
      </w:tr>
      <w:tr w:rsidR="00406D44" w14:paraId="1E104B4C" w14:textId="77777777" w:rsidTr="00406D44">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112FF3A8" w14:textId="04FD98DE" w:rsidR="00406D44" w:rsidRDefault="00406D44" w:rsidP="00406D44">
            <w:pPr>
              <w:pStyle w:val="TableLeftText"/>
            </w:pPr>
            <w:r>
              <w:t>Office, Small</w:t>
            </w:r>
          </w:p>
        </w:tc>
        <w:tc>
          <w:tcPr>
            <w:tcW w:w="1644" w:type="dxa"/>
          </w:tcPr>
          <w:p w14:paraId="77A33870" w14:textId="5531C8ED" w:rsidR="00406D44" w:rsidRPr="000B7901" w:rsidRDefault="00406D44" w:rsidP="00406D44">
            <w:pPr>
              <w:pStyle w:val="TableLeftText"/>
              <w:jc w:val="center"/>
              <w:cnfStyle w:val="000000010000" w:firstRow="0" w:lastRow="0" w:firstColumn="0" w:lastColumn="0" w:oddVBand="0" w:evenVBand="0" w:oddHBand="0" w:evenHBand="1" w:firstRowFirstColumn="0" w:firstRowLastColumn="0" w:lastRowFirstColumn="0" w:lastRowLastColumn="0"/>
            </w:pPr>
            <w:r w:rsidRPr="00406D44">
              <w:t>372.7</w:t>
            </w:r>
          </w:p>
        </w:tc>
        <w:tc>
          <w:tcPr>
            <w:tcW w:w="1644" w:type="dxa"/>
          </w:tcPr>
          <w:p w14:paraId="4BB9262C" w14:textId="0F5A238B" w:rsidR="00406D44" w:rsidRPr="000B7901" w:rsidRDefault="00406D44" w:rsidP="00406D44">
            <w:pPr>
              <w:pStyle w:val="TableLeftText"/>
              <w:jc w:val="center"/>
              <w:cnfStyle w:val="000000010000" w:firstRow="0" w:lastRow="0" w:firstColumn="0" w:lastColumn="0" w:oddVBand="0" w:evenVBand="0" w:oddHBand="0" w:evenHBand="1" w:firstRowFirstColumn="0" w:firstRowLastColumn="0" w:lastRowFirstColumn="0" w:lastRowLastColumn="0"/>
            </w:pPr>
            <w:r w:rsidRPr="00406D44">
              <w:t>5%</w:t>
            </w:r>
          </w:p>
        </w:tc>
      </w:tr>
      <w:tr w:rsidR="00406D44" w14:paraId="1B22D8F9" w14:textId="77777777" w:rsidTr="00406D44">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729FDBBB" w14:textId="77777777" w:rsidR="00406D44" w:rsidRPr="001A2AF7" w:rsidRDefault="00406D44" w:rsidP="0046526C">
            <w:pPr>
              <w:pStyle w:val="TableTextLeftMedium"/>
            </w:pPr>
            <w:r>
              <w:t>Total</w:t>
            </w:r>
          </w:p>
        </w:tc>
        <w:tc>
          <w:tcPr>
            <w:tcW w:w="1644" w:type="dxa"/>
          </w:tcPr>
          <w:p w14:paraId="79BD9A9A" w14:textId="71F6161E" w:rsidR="00406D44" w:rsidRPr="004C1D58" w:rsidRDefault="00406D44" w:rsidP="00406D44">
            <w:pPr>
              <w:pStyle w:val="TableLeft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1D58">
              <w:rPr>
                <w:rFonts w:asciiTheme="majorHAnsi" w:hAnsiTheme="majorHAnsi"/>
              </w:rPr>
              <w:t>7,452.7</w:t>
            </w:r>
          </w:p>
        </w:tc>
        <w:tc>
          <w:tcPr>
            <w:tcW w:w="1644" w:type="dxa"/>
          </w:tcPr>
          <w:p w14:paraId="79E107F1" w14:textId="0967AF18" w:rsidR="00406D44" w:rsidRPr="004C1D58" w:rsidRDefault="00406D44" w:rsidP="00406D44">
            <w:pPr>
              <w:pStyle w:val="TableLeft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1D58">
              <w:rPr>
                <w:rFonts w:asciiTheme="majorHAnsi" w:hAnsiTheme="majorHAnsi"/>
              </w:rPr>
              <w:t>100%</w:t>
            </w:r>
          </w:p>
        </w:tc>
      </w:tr>
    </w:tbl>
    <w:p w14:paraId="22EA88AC" w14:textId="3B6331A4" w:rsidR="005E2E32" w:rsidRPr="005E2E32" w:rsidRDefault="005E2E32" w:rsidP="00406D44">
      <w:pPr>
        <w:spacing w:after="0"/>
        <w:ind w:left="2160" w:firstLine="720"/>
        <w:rPr>
          <w:i/>
          <w:iCs/>
          <w:sz w:val="18"/>
          <w:szCs w:val="18"/>
        </w:rPr>
      </w:pPr>
      <w:r w:rsidRPr="009B0103">
        <w:rPr>
          <w:i/>
          <w:iCs/>
          <w:sz w:val="18"/>
          <w:szCs w:val="18"/>
        </w:rPr>
        <w:t>Source:</w:t>
      </w:r>
      <w:r>
        <w:rPr>
          <w:i/>
          <w:iCs/>
          <w:sz w:val="18"/>
          <w:szCs w:val="18"/>
        </w:rPr>
        <w:t xml:space="preserve"> California Energy Commission</w:t>
      </w:r>
    </w:p>
    <w:p w14:paraId="052EEB07" w14:textId="77777777" w:rsidR="00F103BF" w:rsidRDefault="00F103BF" w:rsidP="00011F83"/>
    <w:p w14:paraId="0535D046" w14:textId="04B999CF" w:rsidR="00F103BF" w:rsidRDefault="00F103BF" w:rsidP="00011F83">
      <w:r>
        <w:t xml:space="preserve">The team aggregated the building type categories presented in </w:t>
      </w:r>
      <w:r>
        <w:fldChar w:fldCharType="begin"/>
      </w:r>
      <w:r>
        <w:instrText xml:space="preserve"> REF _Ref158126552 \h </w:instrText>
      </w:r>
      <w:r>
        <w:fldChar w:fldCharType="separate"/>
      </w:r>
      <w:r w:rsidR="004C1D58">
        <w:t xml:space="preserve">Table </w:t>
      </w:r>
      <w:r w:rsidR="004C1D58">
        <w:rPr>
          <w:noProof/>
        </w:rPr>
        <w:t>5</w:t>
      </w:r>
      <w:r>
        <w:fldChar w:fldCharType="end"/>
      </w:r>
      <w:r>
        <w:t xml:space="preserve"> so that they </w:t>
      </w:r>
      <w:r w:rsidR="008A05EF">
        <w:t>applied</w:t>
      </w:r>
      <w:r>
        <w:t xml:space="preserve"> to the building type categorizations captured in the nonresidential survey effort. The aggregated building type distributions are </w:t>
      </w:r>
      <w:r w:rsidR="008A05EF">
        <w:t>shown</w:t>
      </w:r>
      <w:r>
        <w:t xml:space="preserve"> in </w:t>
      </w:r>
      <w:r>
        <w:fldChar w:fldCharType="begin"/>
      </w:r>
      <w:r>
        <w:instrText xml:space="preserve"> REF _Ref158127026 \h </w:instrText>
      </w:r>
      <w:r>
        <w:fldChar w:fldCharType="separate"/>
      </w:r>
      <w:r w:rsidR="004C1D58">
        <w:t xml:space="preserve">Table </w:t>
      </w:r>
      <w:r w:rsidR="004C1D58">
        <w:rPr>
          <w:noProof/>
        </w:rPr>
        <w:t>6</w:t>
      </w:r>
      <w:r>
        <w:fldChar w:fldCharType="end"/>
      </w:r>
      <w:r>
        <w:t xml:space="preserve">. </w:t>
      </w:r>
    </w:p>
    <w:p w14:paraId="17B4B05D" w14:textId="1D80E911" w:rsidR="00F103BF" w:rsidRDefault="00F103BF" w:rsidP="00F103BF">
      <w:pPr>
        <w:pStyle w:val="Caption"/>
        <w:spacing w:before="240"/>
      </w:pPr>
      <w:bookmarkStart w:id="5" w:name="_Ref158127026"/>
      <w:r>
        <w:t xml:space="preserve">Table </w:t>
      </w:r>
      <w:r>
        <w:fldChar w:fldCharType="begin"/>
      </w:r>
      <w:r>
        <w:instrText xml:space="preserve"> SEQ Table \* ARABIC </w:instrText>
      </w:r>
      <w:r>
        <w:fldChar w:fldCharType="separate"/>
      </w:r>
      <w:r w:rsidR="004C1D58">
        <w:rPr>
          <w:noProof/>
        </w:rPr>
        <w:t>6</w:t>
      </w:r>
      <w:r>
        <w:rPr>
          <w:noProof/>
        </w:rPr>
        <w:fldChar w:fldCharType="end"/>
      </w:r>
      <w:bookmarkEnd w:id="5"/>
      <w:r>
        <w:t>. Adjusted 2021 CEUS Floor Space Stock by Building Type</w:t>
      </w:r>
    </w:p>
    <w:tbl>
      <w:tblPr>
        <w:tblStyle w:val="ODCBasic-1"/>
        <w:tblW w:w="0" w:type="auto"/>
        <w:tblLayout w:type="fixed"/>
        <w:tblCellMar>
          <w:top w:w="0" w:type="dxa"/>
          <w:bottom w:w="14" w:type="dxa"/>
        </w:tblCellMar>
        <w:tblLook w:val="04A0" w:firstRow="1" w:lastRow="0" w:firstColumn="1" w:lastColumn="0" w:noHBand="0" w:noVBand="1"/>
      </w:tblPr>
      <w:tblGrid>
        <w:gridCol w:w="2836"/>
        <w:gridCol w:w="1644"/>
        <w:gridCol w:w="1644"/>
      </w:tblGrid>
      <w:tr w:rsidR="00F103BF" w14:paraId="3FA867D6" w14:textId="77777777" w:rsidTr="0046526C">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836" w:type="dxa"/>
            <w:tcBorders>
              <w:bottom w:val="single" w:sz="4" w:space="0" w:color="4A4D56" w:themeColor="text1"/>
              <w:right w:val="single" w:sz="4" w:space="0" w:color="4A4D56" w:themeColor="text1"/>
            </w:tcBorders>
          </w:tcPr>
          <w:p w14:paraId="09DEAC5E" w14:textId="77777777" w:rsidR="00F103BF" w:rsidRPr="00625570" w:rsidRDefault="00F103BF" w:rsidP="0046526C">
            <w:pPr>
              <w:pStyle w:val="TableHeadingLeft"/>
            </w:pPr>
            <w:r>
              <w:t>2021 CEUS Building Type</w:t>
            </w:r>
          </w:p>
        </w:tc>
        <w:tc>
          <w:tcPr>
            <w:tcW w:w="1644" w:type="dxa"/>
            <w:tcBorders>
              <w:left w:val="single" w:sz="4" w:space="0" w:color="4A4D56" w:themeColor="text1"/>
              <w:bottom w:val="single" w:sz="4" w:space="0" w:color="4A4D56" w:themeColor="text1"/>
              <w:right w:val="single" w:sz="4" w:space="0" w:color="4A4D56" w:themeColor="text1"/>
            </w:tcBorders>
          </w:tcPr>
          <w:p w14:paraId="3E8737B0" w14:textId="77777777" w:rsidR="00F103BF" w:rsidRPr="00625570" w:rsidRDefault="00F103BF" w:rsidP="0046526C">
            <w:pPr>
              <w:pStyle w:val="TableHeadingCentered"/>
              <w:cnfStyle w:val="100000000000" w:firstRow="1" w:lastRow="0" w:firstColumn="0" w:lastColumn="0" w:oddVBand="0" w:evenVBand="0" w:oddHBand="0" w:evenHBand="0" w:firstRowFirstColumn="0" w:firstRowLastColumn="0" w:lastRowFirstColumn="0" w:lastRowLastColumn="0"/>
            </w:pPr>
            <w:r>
              <w:t>Square Feet (10^6)</w:t>
            </w:r>
          </w:p>
        </w:tc>
        <w:tc>
          <w:tcPr>
            <w:tcW w:w="1644" w:type="dxa"/>
            <w:tcBorders>
              <w:left w:val="single" w:sz="4" w:space="0" w:color="4A4D56" w:themeColor="text1"/>
              <w:bottom w:val="single" w:sz="4" w:space="0" w:color="4A4D56" w:themeColor="text1"/>
              <w:right w:val="single" w:sz="4" w:space="0" w:color="4A4D56" w:themeColor="text1"/>
            </w:tcBorders>
          </w:tcPr>
          <w:p w14:paraId="647034D9" w14:textId="77777777" w:rsidR="00F103BF" w:rsidRPr="00625570" w:rsidRDefault="00F103BF" w:rsidP="0046526C">
            <w:pPr>
              <w:pStyle w:val="TableHeadingCentered"/>
              <w:cnfStyle w:val="100000000000" w:firstRow="1" w:lastRow="0" w:firstColumn="0" w:lastColumn="0" w:oddVBand="0" w:evenVBand="0" w:oddHBand="0" w:evenHBand="0" w:firstRowFirstColumn="0" w:firstRowLastColumn="0" w:lastRowFirstColumn="0" w:lastRowLastColumn="0"/>
            </w:pPr>
            <w:r>
              <w:t>Proportion</w:t>
            </w:r>
          </w:p>
        </w:tc>
      </w:tr>
      <w:tr w:rsidR="00F103BF" w14:paraId="6EA73824" w14:textId="77777777" w:rsidTr="00F103B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Borders>
              <w:top w:val="single" w:sz="4" w:space="0" w:color="4A4D56" w:themeColor="text1"/>
            </w:tcBorders>
          </w:tcPr>
          <w:p w14:paraId="3AA45203" w14:textId="3F9DDA32" w:rsidR="00F103BF" w:rsidRPr="00625570" w:rsidRDefault="00F103BF" w:rsidP="00F103BF">
            <w:pPr>
              <w:pStyle w:val="TableLeftText"/>
            </w:pPr>
            <w:r>
              <w:t>Restaurant</w:t>
            </w:r>
          </w:p>
        </w:tc>
        <w:tc>
          <w:tcPr>
            <w:tcW w:w="1644" w:type="dxa"/>
            <w:tcBorders>
              <w:top w:val="single" w:sz="4" w:space="0" w:color="4A4D56" w:themeColor="text1"/>
            </w:tcBorders>
          </w:tcPr>
          <w:p w14:paraId="4CEB0BB0" w14:textId="39400049" w:rsidR="00F103BF" w:rsidRPr="000B7901" w:rsidRDefault="00F103BF" w:rsidP="00F103BF">
            <w:pPr>
              <w:pStyle w:val="TableLeftText"/>
              <w:jc w:val="center"/>
              <w:cnfStyle w:val="000000100000" w:firstRow="0" w:lastRow="0" w:firstColumn="0" w:lastColumn="0" w:oddVBand="0" w:evenVBand="0" w:oddHBand="1" w:evenHBand="0" w:firstRowFirstColumn="0" w:firstRowLastColumn="0" w:lastRowFirstColumn="0" w:lastRowLastColumn="0"/>
            </w:pPr>
            <w:r w:rsidRPr="00F103BF">
              <w:t>186.7</w:t>
            </w:r>
          </w:p>
        </w:tc>
        <w:tc>
          <w:tcPr>
            <w:tcW w:w="1644" w:type="dxa"/>
            <w:tcBorders>
              <w:top w:val="single" w:sz="4" w:space="0" w:color="4A4D56" w:themeColor="text1"/>
            </w:tcBorders>
          </w:tcPr>
          <w:p w14:paraId="702C4D87" w14:textId="6CA51351" w:rsidR="00F103BF" w:rsidRPr="000B7901" w:rsidRDefault="00F103BF" w:rsidP="00F103BF">
            <w:pPr>
              <w:pStyle w:val="TableLeftText"/>
              <w:jc w:val="center"/>
              <w:cnfStyle w:val="000000100000" w:firstRow="0" w:lastRow="0" w:firstColumn="0" w:lastColumn="0" w:oddVBand="0" w:evenVBand="0" w:oddHBand="1" w:evenHBand="0" w:firstRowFirstColumn="0" w:firstRowLastColumn="0" w:lastRowFirstColumn="0" w:lastRowLastColumn="0"/>
            </w:pPr>
            <w:r w:rsidRPr="00F103BF">
              <w:t>3%</w:t>
            </w:r>
          </w:p>
        </w:tc>
      </w:tr>
      <w:tr w:rsidR="00F103BF" w14:paraId="1679C86A" w14:textId="77777777" w:rsidTr="00F103BF">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20219FE9" w14:textId="4B737CB5" w:rsidR="00F103BF" w:rsidRPr="00625570" w:rsidRDefault="00F103BF" w:rsidP="00F103BF">
            <w:pPr>
              <w:pStyle w:val="TableLeftText"/>
            </w:pPr>
            <w:r>
              <w:t>Retail</w:t>
            </w:r>
          </w:p>
        </w:tc>
        <w:tc>
          <w:tcPr>
            <w:tcW w:w="1644" w:type="dxa"/>
          </w:tcPr>
          <w:p w14:paraId="45007799" w14:textId="2CC1AB31" w:rsidR="00F103BF" w:rsidRPr="000B7901" w:rsidRDefault="00F103BF" w:rsidP="00F103BF">
            <w:pPr>
              <w:pStyle w:val="TableLeftText"/>
              <w:jc w:val="center"/>
              <w:cnfStyle w:val="000000010000" w:firstRow="0" w:lastRow="0" w:firstColumn="0" w:lastColumn="0" w:oddVBand="0" w:evenVBand="0" w:oddHBand="0" w:evenHBand="1" w:firstRowFirstColumn="0" w:firstRowLastColumn="0" w:lastRowFirstColumn="0" w:lastRowLastColumn="0"/>
            </w:pPr>
            <w:r w:rsidRPr="00F103BF">
              <w:t>1,145.4</w:t>
            </w:r>
          </w:p>
        </w:tc>
        <w:tc>
          <w:tcPr>
            <w:tcW w:w="1644" w:type="dxa"/>
          </w:tcPr>
          <w:p w14:paraId="3DF90D23" w14:textId="03F6E409" w:rsidR="00F103BF" w:rsidRPr="000B7901" w:rsidRDefault="00F103BF" w:rsidP="00F103BF">
            <w:pPr>
              <w:pStyle w:val="TableLeftText"/>
              <w:jc w:val="center"/>
              <w:cnfStyle w:val="000000010000" w:firstRow="0" w:lastRow="0" w:firstColumn="0" w:lastColumn="0" w:oddVBand="0" w:evenVBand="0" w:oddHBand="0" w:evenHBand="1" w:firstRowFirstColumn="0" w:firstRowLastColumn="0" w:lastRowFirstColumn="0" w:lastRowLastColumn="0"/>
            </w:pPr>
            <w:r w:rsidRPr="00F103BF">
              <w:t>15%</w:t>
            </w:r>
          </w:p>
        </w:tc>
      </w:tr>
      <w:tr w:rsidR="00F103BF" w14:paraId="1D31E2C3" w14:textId="77777777" w:rsidTr="00F103B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590A5609" w14:textId="3211D2BF" w:rsidR="00F103BF" w:rsidRPr="00625570" w:rsidRDefault="00F103BF" w:rsidP="00F103BF">
            <w:pPr>
              <w:pStyle w:val="TableLeftText"/>
            </w:pPr>
            <w:r>
              <w:t>Food Stores</w:t>
            </w:r>
          </w:p>
        </w:tc>
        <w:tc>
          <w:tcPr>
            <w:tcW w:w="1644" w:type="dxa"/>
          </w:tcPr>
          <w:p w14:paraId="7C9374B4" w14:textId="2351E94C" w:rsidR="00F103BF" w:rsidRPr="000B7901" w:rsidRDefault="00F103BF" w:rsidP="00F103BF">
            <w:pPr>
              <w:pStyle w:val="TableLeftText"/>
              <w:jc w:val="center"/>
              <w:cnfStyle w:val="000000100000" w:firstRow="0" w:lastRow="0" w:firstColumn="0" w:lastColumn="0" w:oddVBand="0" w:evenVBand="0" w:oddHBand="1" w:evenHBand="0" w:firstRowFirstColumn="0" w:firstRowLastColumn="0" w:lastRowFirstColumn="0" w:lastRowLastColumn="0"/>
            </w:pPr>
            <w:r w:rsidRPr="00F103BF">
              <w:t>302.3</w:t>
            </w:r>
          </w:p>
        </w:tc>
        <w:tc>
          <w:tcPr>
            <w:tcW w:w="1644" w:type="dxa"/>
          </w:tcPr>
          <w:p w14:paraId="3FF10AA3" w14:textId="042A71B6" w:rsidR="00F103BF" w:rsidRPr="000B7901" w:rsidRDefault="00F103BF" w:rsidP="00F103BF">
            <w:pPr>
              <w:pStyle w:val="TableLeftText"/>
              <w:jc w:val="center"/>
              <w:cnfStyle w:val="000000100000" w:firstRow="0" w:lastRow="0" w:firstColumn="0" w:lastColumn="0" w:oddVBand="0" w:evenVBand="0" w:oddHBand="1" w:evenHBand="0" w:firstRowFirstColumn="0" w:firstRowLastColumn="0" w:lastRowFirstColumn="0" w:lastRowLastColumn="0"/>
            </w:pPr>
            <w:r w:rsidRPr="00F103BF">
              <w:t>4%</w:t>
            </w:r>
          </w:p>
        </w:tc>
      </w:tr>
      <w:tr w:rsidR="00F103BF" w14:paraId="56D18A21" w14:textId="77777777" w:rsidTr="00F103BF">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1DD51AA0" w14:textId="7C9D5477" w:rsidR="00F103BF" w:rsidRPr="00625570" w:rsidRDefault="00F103BF" w:rsidP="00F103BF">
            <w:pPr>
              <w:pStyle w:val="TableLeftText"/>
            </w:pPr>
            <w:r>
              <w:t>Education</w:t>
            </w:r>
          </w:p>
        </w:tc>
        <w:tc>
          <w:tcPr>
            <w:tcW w:w="1644" w:type="dxa"/>
          </w:tcPr>
          <w:p w14:paraId="136B200E" w14:textId="153B5F61" w:rsidR="00F103BF" w:rsidRPr="000B7901" w:rsidRDefault="00F103BF" w:rsidP="00F103BF">
            <w:pPr>
              <w:pStyle w:val="TableLeftText"/>
              <w:jc w:val="center"/>
              <w:cnfStyle w:val="000000010000" w:firstRow="0" w:lastRow="0" w:firstColumn="0" w:lastColumn="0" w:oddVBand="0" w:evenVBand="0" w:oddHBand="0" w:evenHBand="1" w:firstRowFirstColumn="0" w:firstRowLastColumn="0" w:lastRowFirstColumn="0" w:lastRowLastColumn="0"/>
            </w:pPr>
            <w:r w:rsidRPr="00F103BF">
              <w:t>884.7</w:t>
            </w:r>
          </w:p>
        </w:tc>
        <w:tc>
          <w:tcPr>
            <w:tcW w:w="1644" w:type="dxa"/>
          </w:tcPr>
          <w:p w14:paraId="0FB967D8" w14:textId="4EA44651" w:rsidR="00F103BF" w:rsidRPr="000B7901" w:rsidRDefault="00F103BF" w:rsidP="00F103BF">
            <w:pPr>
              <w:pStyle w:val="TableLeftText"/>
              <w:jc w:val="center"/>
              <w:cnfStyle w:val="000000010000" w:firstRow="0" w:lastRow="0" w:firstColumn="0" w:lastColumn="0" w:oddVBand="0" w:evenVBand="0" w:oddHBand="0" w:evenHBand="1" w:firstRowFirstColumn="0" w:firstRowLastColumn="0" w:lastRowFirstColumn="0" w:lastRowLastColumn="0"/>
            </w:pPr>
            <w:r w:rsidRPr="00F103BF">
              <w:t>12%</w:t>
            </w:r>
          </w:p>
        </w:tc>
      </w:tr>
      <w:tr w:rsidR="00F103BF" w14:paraId="2074BF37" w14:textId="77777777" w:rsidTr="00F103B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3FAD0AD3" w14:textId="706D2B91" w:rsidR="00F103BF" w:rsidRPr="00625570" w:rsidRDefault="00F103BF" w:rsidP="00F103BF">
            <w:pPr>
              <w:pStyle w:val="TableLeftText"/>
            </w:pPr>
            <w:r>
              <w:t>Health Care</w:t>
            </w:r>
          </w:p>
        </w:tc>
        <w:tc>
          <w:tcPr>
            <w:tcW w:w="1644" w:type="dxa"/>
          </w:tcPr>
          <w:p w14:paraId="6C851DA3" w14:textId="5FE98A55" w:rsidR="00F103BF" w:rsidRPr="000B7901" w:rsidRDefault="00F103BF" w:rsidP="00F103BF">
            <w:pPr>
              <w:pStyle w:val="TableLeftText"/>
              <w:jc w:val="center"/>
              <w:cnfStyle w:val="000000100000" w:firstRow="0" w:lastRow="0" w:firstColumn="0" w:lastColumn="0" w:oddVBand="0" w:evenVBand="0" w:oddHBand="1" w:evenHBand="0" w:firstRowFirstColumn="0" w:firstRowLastColumn="0" w:lastRowFirstColumn="0" w:lastRowLastColumn="0"/>
            </w:pPr>
            <w:r w:rsidRPr="00F103BF">
              <w:t>381.8</w:t>
            </w:r>
          </w:p>
        </w:tc>
        <w:tc>
          <w:tcPr>
            <w:tcW w:w="1644" w:type="dxa"/>
          </w:tcPr>
          <w:p w14:paraId="49CEE003" w14:textId="69EBDB2A" w:rsidR="00F103BF" w:rsidRPr="000B7901" w:rsidRDefault="00F103BF" w:rsidP="00F103BF">
            <w:pPr>
              <w:pStyle w:val="TableLeftText"/>
              <w:jc w:val="center"/>
              <w:cnfStyle w:val="000000100000" w:firstRow="0" w:lastRow="0" w:firstColumn="0" w:lastColumn="0" w:oddVBand="0" w:evenVBand="0" w:oddHBand="1" w:evenHBand="0" w:firstRowFirstColumn="0" w:firstRowLastColumn="0" w:lastRowFirstColumn="0" w:lastRowLastColumn="0"/>
            </w:pPr>
            <w:r w:rsidRPr="00F103BF">
              <w:t>5%</w:t>
            </w:r>
          </w:p>
        </w:tc>
      </w:tr>
      <w:tr w:rsidR="00F103BF" w14:paraId="4736850A" w14:textId="77777777" w:rsidTr="00F103BF">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39D85894" w14:textId="57FD2408" w:rsidR="00F103BF" w:rsidRPr="00625570" w:rsidRDefault="00F103BF" w:rsidP="00F103BF">
            <w:pPr>
              <w:pStyle w:val="TableLeftText"/>
            </w:pPr>
            <w:r>
              <w:t>Lodging</w:t>
            </w:r>
          </w:p>
        </w:tc>
        <w:tc>
          <w:tcPr>
            <w:tcW w:w="1644" w:type="dxa"/>
          </w:tcPr>
          <w:p w14:paraId="3BCAF710" w14:textId="7280B3C6" w:rsidR="00F103BF" w:rsidRPr="000B7901" w:rsidRDefault="00F103BF" w:rsidP="00F103BF">
            <w:pPr>
              <w:pStyle w:val="TableLeftText"/>
              <w:jc w:val="center"/>
              <w:cnfStyle w:val="000000010000" w:firstRow="0" w:lastRow="0" w:firstColumn="0" w:lastColumn="0" w:oddVBand="0" w:evenVBand="0" w:oddHBand="0" w:evenHBand="1" w:firstRowFirstColumn="0" w:firstRowLastColumn="0" w:lastRowFirstColumn="0" w:lastRowLastColumn="0"/>
            </w:pPr>
            <w:r w:rsidRPr="00F103BF">
              <w:t>358.8</w:t>
            </w:r>
          </w:p>
        </w:tc>
        <w:tc>
          <w:tcPr>
            <w:tcW w:w="1644" w:type="dxa"/>
          </w:tcPr>
          <w:p w14:paraId="7474FDB9" w14:textId="7D297DA8" w:rsidR="00F103BF" w:rsidRPr="000B7901" w:rsidRDefault="00F103BF" w:rsidP="00F103BF">
            <w:pPr>
              <w:pStyle w:val="TableLeftText"/>
              <w:jc w:val="center"/>
              <w:cnfStyle w:val="000000010000" w:firstRow="0" w:lastRow="0" w:firstColumn="0" w:lastColumn="0" w:oddVBand="0" w:evenVBand="0" w:oddHBand="0" w:evenHBand="1" w:firstRowFirstColumn="0" w:firstRowLastColumn="0" w:lastRowFirstColumn="0" w:lastRowLastColumn="0"/>
            </w:pPr>
            <w:r w:rsidRPr="00F103BF">
              <w:t>5%</w:t>
            </w:r>
          </w:p>
        </w:tc>
      </w:tr>
      <w:tr w:rsidR="00F103BF" w14:paraId="75E9AD0D" w14:textId="77777777" w:rsidTr="00F103B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119A9A97" w14:textId="3A6848BF" w:rsidR="00F103BF" w:rsidRDefault="00F103BF" w:rsidP="00F103BF">
            <w:pPr>
              <w:pStyle w:val="TableLeftText"/>
            </w:pPr>
            <w:r>
              <w:t>Warehouse</w:t>
            </w:r>
          </w:p>
        </w:tc>
        <w:tc>
          <w:tcPr>
            <w:tcW w:w="1644" w:type="dxa"/>
          </w:tcPr>
          <w:p w14:paraId="7329510B" w14:textId="482B4711" w:rsidR="00F103BF" w:rsidRPr="000B7901" w:rsidRDefault="00F103BF" w:rsidP="00F103BF">
            <w:pPr>
              <w:pStyle w:val="TableLeftText"/>
              <w:jc w:val="center"/>
              <w:cnfStyle w:val="000000100000" w:firstRow="0" w:lastRow="0" w:firstColumn="0" w:lastColumn="0" w:oddVBand="0" w:evenVBand="0" w:oddHBand="1" w:evenHBand="0" w:firstRowFirstColumn="0" w:firstRowLastColumn="0" w:lastRowFirstColumn="0" w:lastRowLastColumn="0"/>
            </w:pPr>
            <w:r w:rsidRPr="00F103BF">
              <w:t>1,151.1</w:t>
            </w:r>
          </w:p>
        </w:tc>
        <w:tc>
          <w:tcPr>
            <w:tcW w:w="1644" w:type="dxa"/>
          </w:tcPr>
          <w:p w14:paraId="13170A0F" w14:textId="4DCBBE8B" w:rsidR="00F103BF" w:rsidRPr="000B7901" w:rsidRDefault="00F103BF" w:rsidP="00F103BF">
            <w:pPr>
              <w:pStyle w:val="TableLeftText"/>
              <w:jc w:val="center"/>
              <w:cnfStyle w:val="000000100000" w:firstRow="0" w:lastRow="0" w:firstColumn="0" w:lastColumn="0" w:oddVBand="0" w:evenVBand="0" w:oddHBand="1" w:evenHBand="0" w:firstRowFirstColumn="0" w:firstRowLastColumn="0" w:lastRowFirstColumn="0" w:lastRowLastColumn="0"/>
            </w:pPr>
            <w:r w:rsidRPr="00F103BF">
              <w:t>15%</w:t>
            </w:r>
          </w:p>
        </w:tc>
      </w:tr>
      <w:tr w:rsidR="00F103BF" w14:paraId="01612402" w14:textId="77777777" w:rsidTr="00F103BF">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20A0B021" w14:textId="3FD4A55A" w:rsidR="00F103BF" w:rsidRDefault="00F103BF" w:rsidP="00F103BF">
            <w:pPr>
              <w:pStyle w:val="TableLeftText"/>
            </w:pPr>
            <w:r>
              <w:t>Miscellaneous</w:t>
            </w:r>
          </w:p>
        </w:tc>
        <w:tc>
          <w:tcPr>
            <w:tcW w:w="1644" w:type="dxa"/>
          </w:tcPr>
          <w:p w14:paraId="4F91A4C0" w14:textId="4D8E6AE0" w:rsidR="00F103BF" w:rsidRPr="000B7901" w:rsidRDefault="00F103BF" w:rsidP="00F103BF">
            <w:pPr>
              <w:pStyle w:val="TableLeftText"/>
              <w:jc w:val="center"/>
              <w:cnfStyle w:val="000000010000" w:firstRow="0" w:lastRow="0" w:firstColumn="0" w:lastColumn="0" w:oddVBand="0" w:evenVBand="0" w:oddHBand="0" w:evenHBand="1" w:firstRowFirstColumn="0" w:firstRowLastColumn="0" w:lastRowFirstColumn="0" w:lastRowLastColumn="0"/>
            </w:pPr>
            <w:r w:rsidRPr="00F103BF">
              <w:t>1,380.3</w:t>
            </w:r>
          </w:p>
        </w:tc>
        <w:tc>
          <w:tcPr>
            <w:tcW w:w="1644" w:type="dxa"/>
          </w:tcPr>
          <w:p w14:paraId="216A2D86" w14:textId="36BBCC2F" w:rsidR="00F103BF" w:rsidRPr="000B7901" w:rsidRDefault="00F103BF" w:rsidP="00F103BF">
            <w:pPr>
              <w:pStyle w:val="TableLeftText"/>
              <w:jc w:val="center"/>
              <w:cnfStyle w:val="000000010000" w:firstRow="0" w:lastRow="0" w:firstColumn="0" w:lastColumn="0" w:oddVBand="0" w:evenVBand="0" w:oddHBand="0" w:evenHBand="1" w:firstRowFirstColumn="0" w:firstRowLastColumn="0" w:lastRowFirstColumn="0" w:lastRowLastColumn="0"/>
            </w:pPr>
            <w:r w:rsidRPr="00F103BF">
              <w:t>19%</w:t>
            </w:r>
          </w:p>
        </w:tc>
      </w:tr>
      <w:tr w:rsidR="00F103BF" w14:paraId="4B90AC86" w14:textId="77777777" w:rsidTr="00F103B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06AF084B" w14:textId="3E17B430" w:rsidR="00F103BF" w:rsidRDefault="00F103BF" w:rsidP="00F103BF">
            <w:pPr>
              <w:pStyle w:val="TableLeftText"/>
            </w:pPr>
            <w:r>
              <w:t>Offices</w:t>
            </w:r>
          </w:p>
        </w:tc>
        <w:tc>
          <w:tcPr>
            <w:tcW w:w="1644" w:type="dxa"/>
          </w:tcPr>
          <w:p w14:paraId="03DDD521" w14:textId="0125E348" w:rsidR="00F103BF" w:rsidRPr="000B7901" w:rsidRDefault="00F103BF" w:rsidP="00F103BF">
            <w:pPr>
              <w:pStyle w:val="TableLeftText"/>
              <w:jc w:val="center"/>
              <w:cnfStyle w:val="000000100000" w:firstRow="0" w:lastRow="0" w:firstColumn="0" w:lastColumn="0" w:oddVBand="0" w:evenVBand="0" w:oddHBand="1" w:evenHBand="0" w:firstRowFirstColumn="0" w:firstRowLastColumn="0" w:lastRowFirstColumn="0" w:lastRowLastColumn="0"/>
            </w:pPr>
            <w:r w:rsidRPr="00F103BF">
              <w:t>1,661.6</w:t>
            </w:r>
          </w:p>
        </w:tc>
        <w:tc>
          <w:tcPr>
            <w:tcW w:w="1644" w:type="dxa"/>
          </w:tcPr>
          <w:p w14:paraId="70461496" w14:textId="38484312" w:rsidR="00F103BF" w:rsidRPr="000B7901" w:rsidRDefault="00F103BF" w:rsidP="00F103BF">
            <w:pPr>
              <w:pStyle w:val="TableLeftText"/>
              <w:jc w:val="center"/>
              <w:cnfStyle w:val="000000100000" w:firstRow="0" w:lastRow="0" w:firstColumn="0" w:lastColumn="0" w:oddVBand="0" w:evenVBand="0" w:oddHBand="1" w:evenHBand="0" w:firstRowFirstColumn="0" w:firstRowLastColumn="0" w:lastRowFirstColumn="0" w:lastRowLastColumn="0"/>
            </w:pPr>
            <w:r w:rsidRPr="00F103BF">
              <w:t>22%</w:t>
            </w:r>
          </w:p>
        </w:tc>
      </w:tr>
      <w:tr w:rsidR="00F103BF" w14:paraId="54210406" w14:textId="77777777" w:rsidTr="0046526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013D06BE" w14:textId="77777777" w:rsidR="00F103BF" w:rsidRPr="001A2AF7" w:rsidRDefault="00F103BF" w:rsidP="0046526C">
            <w:pPr>
              <w:pStyle w:val="TableTextLeftMedium"/>
            </w:pPr>
            <w:r>
              <w:t>Total</w:t>
            </w:r>
          </w:p>
        </w:tc>
        <w:tc>
          <w:tcPr>
            <w:tcW w:w="1644" w:type="dxa"/>
          </w:tcPr>
          <w:p w14:paraId="1D384945" w14:textId="77777777" w:rsidR="00F103BF" w:rsidRPr="004C1D58" w:rsidRDefault="00F103BF" w:rsidP="0046526C">
            <w:pPr>
              <w:pStyle w:val="TableLeftTex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C1D58">
              <w:rPr>
                <w:rFonts w:asciiTheme="majorHAnsi" w:hAnsiTheme="majorHAnsi"/>
              </w:rPr>
              <w:t>7,452.7</w:t>
            </w:r>
          </w:p>
        </w:tc>
        <w:tc>
          <w:tcPr>
            <w:tcW w:w="1644" w:type="dxa"/>
          </w:tcPr>
          <w:p w14:paraId="135F8FEC" w14:textId="77777777" w:rsidR="00F103BF" w:rsidRPr="004C1D58" w:rsidRDefault="00F103BF" w:rsidP="0046526C">
            <w:pPr>
              <w:pStyle w:val="TableLeftTex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C1D58">
              <w:rPr>
                <w:rFonts w:asciiTheme="majorHAnsi" w:hAnsiTheme="majorHAnsi"/>
              </w:rPr>
              <w:t>100%</w:t>
            </w:r>
          </w:p>
        </w:tc>
      </w:tr>
    </w:tbl>
    <w:p w14:paraId="11A42D9E" w14:textId="77777777" w:rsidR="00F103BF" w:rsidRPr="005E2E32" w:rsidRDefault="00F103BF" w:rsidP="00F103BF">
      <w:pPr>
        <w:spacing w:after="0"/>
        <w:ind w:left="2160" w:firstLine="720"/>
        <w:rPr>
          <w:i/>
          <w:iCs/>
          <w:sz w:val="18"/>
          <w:szCs w:val="18"/>
        </w:rPr>
      </w:pPr>
      <w:r w:rsidRPr="009B0103">
        <w:rPr>
          <w:i/>
          <w:iCs/>
          <w:sz w:val="18"/>
          <w:szCs w:val="18"/>
        </w:rPr>
        <w:t>Source:</w:t>
      </w:r>
      <w:r>
        <w:rPr>
          <w:i/>
          <w:iCs/>
          <w:sz w:val="18"/>
          <w:szCs w:val="18"/>
        </w:rPr>
        <w:t xml:space="preserve"> California Energy Commission</w:t>
      </w:r>
    </w:p>
    <w:p w14:paraId="5773FCC3" w14:textId="4A0684C8" w:rsidR="00F103BF" w:rsidRDefault="00B22B26" w:rsidP="00B22B26">
      <w:pPr>
        <w:pStyle w:val="Heading1"/>
      </w:pPr>
      <w:r>
        <w:lastRenderedPageBreak/>
        <w:t>Regression Analysis</w:t>
      </w:r>
    </w:p>
    <w:p w14:paraId="4C56955D" w14:textId="7D18B904" w:rsidR="00B22B26" w:rsidRDefault="00B22B26" w:rsidP="00B22B26">
      <w:pPr>
        <w:pStyle w:val="ListBullet"/>
        <w:numPr>
          <w:ilvl w:val="0"/>
          <w:numId w:val="0"/>
        </w:numPr>
      </w:pPr>
      <w:bookmarkStart w:id="6" w:name="_Hlk158806561"/>
      <w:r>
        <w:t xml:space="preserve">The team conducted a regression analysis on the residential occupant and commercial customer survey data in two stages. The first stage was a correlation analysis in which we leveraged univariate methods to assess the extent and direction of the </w:t>
      </w:r>
      <w:r w:rsidRPr="00A32A25">
        <w:rPr>
          <w:b/>
          <w:bCs/>
        </w:rPr>
        <w:t>individual</w:t>
      </w:r>
      <w:r>
        <w:t xml:space="preserve"> relationships between each </w:t>
      </w:r>
      <w:r w:rsidR="008A05EF">
        <w:t>variable</w:t>
      </w:r>
      <w:r>
        <w:t xml:space="preserve"> of interest and the panel upgrade outcome. We c</w:t>
      </w:r>
      <w:r w:rsidR="00172059">
        <w:t>ompleted</w:t>
      </w:r>
      <w:r>
        <w:t xml:space="preserve"> the correlation analysis first because it allowed us to provide timely preliminary findings, formulate preliminary hypotheses, and identify if </w:t>
      </w:r>
      <w:r w:rsidR="008A05EF">
        <w:t>any relationships</w:t>
      </w:r>
      <w:r>
        <w:t xml:space="preserve"> warranted a regression analysis. Based on the results of the correlation analysis, the second stage was a multivariate regression analysis conducted to assess the </w:t>
      </w:r>
      <w:r w:rsidRPr="00A32A25">
        <w:rPr>
          <w:b/>
          <w:bCs/>
        </w:rPr>
        <w:t>combined</w:t>
      </w:r>
      <w:r>
        <w:t xml:space="preserve"> relationship between the variables of interest and the panel upgrade outcome. </w:t>
      </w:r>
      <w:r w:rsidR="00594BD4">
        <w:t xml:space="preserve">Compared to correlation </w:t>
      </w:r>
      <w:proofErr w:type="gramStart"/>
      <w:r w:rsidR="00594BD4">
        <w:t>analysis,  multivariate</w:t>
      </w:r>
      <w:proofErr w:type="gramEnd"/>
      <w:r w:rsidR="00E42A88">
        <w:t xml:space="preserve"> regression</w:t>
      </w:r>
      <w:r w:rsidR="00594BD4">
        <w:t xml:space="preserve"> analysis is more appropriate for trying to explain or predict a given customer</w:t>
      </w:r>
      <w:r w:rsidR="00E42A88">
        <w:t>’s need for a panel upgrade</w:t>
      </w:r>
      <w:r w:rsidR="00594BD4">
        <w:t xml:space="preserve"> because it accounts for how a variety of unique customer characteristics interact to affect that outcome. </w:t>
      </w:r>
    </w:p>
    <w:p w14:paraId="54EDD3D8" w14:textId="77777777" w:rsidR="00594BD4" w:rsidRDefault="00B22B26" w:rsidP="00B22B26">
      <w:pPr>
        <w:pStyle w:val="ListBullet"/>
        <w:numPr>
          <w:ilvl w:val="0"/>
          <w:numId w:val="0"/>
        </w:numPr>
      </w:pPr>
      <w:r>
        <w:t xml:space="preserve">The team produced adjusted odds ratios to aid in </w:t>
      </w:r>
      <w:r w:rsidR="008A05EF">
        <w:t>interpreting</w:t>
      </w:r>
      <w:r>
        <w:t xml:space="preserve"> the results. In a multivariate regression, an adjusted odds ratio represents the relative likelihood of the outcome happening when a given factor is true while holding all the other independent variables in the analysis constant. </w:t>
      </w:r>
      <w:r w:rsidR="008A05EF">
        <w:t>We needed to choose one category for categorical variables as</w:t>
      </w:r>
      <w:r>
        <w:t xml:space="preserve"> the </w:t>
      </w:r>
      <w:r w:rsidR="00172059">
        <w:t>"</w:t>
      </w:r>
      <w:r>
        <w:t>reference.</w:t>
      </w:r>
      <w:r w:rsidR="00172059">
        <w:t>"</w:t>
      </w:r>
      <w:r>
        <w:t xml:space="preserve"> The results represent whether being in another category makes you more or less likely to need the upgrade than being in the reference category (e.g., if having a home built between 1976</w:t>
      </w:r>
      <w:r w:rsidR="008A05EF">
        <w:t xml:space="preserve"> and </w:t>
      </w:r>
      <w:r>
        <w:t>1999 makes you more or less likely to need a panel upgrade than having a ho</w:t>
      </w:r>
      <w:r w:rsidR="008A05EF">
        <w:t>us</w:t>
      </w:r>
      <w:r>
        <w:t>e built in 2000 or later). It is possible to obtain a different result with a different reference category; however, we tried to choose logical reference categories where they existed (e.g., being in the coldest region or having the newest home).</w:t>
      </w:r>
      <w:r w:rsidR="00594BD4" w:rsidRPr="00594BD4">
        <w:t xml:space="preserve"> </w:t>
      </w:r>
    </w:p>
    <w:p w14:paraId="422EE7FF" w14:textId="44DDBCF3" w:rsidR="00B22B26" w:rsidRPr="00B22B26" w:rsidRDefault="00594BD4" w:rsidP="00B22B26">
      <w:pPr>
        <w:pStyle w:val="ListBullet"/>
        <w:numPr>
          <w:ilvl w:val="0"/>
          <w:numId w:val="0"/>
        </w:numPr>
      </w:pPr>
      <w:r>
        <w:t>The results of this analysis can be used to identify customers that are particularly likely or unlikely to require a panel upgrade. That said, the observed variables only partially explain the need for a panel upgrade, and there are likely other factors that affect the need for a panel upgrade but are not available for analysis currently given data limitations.</w:t>
      </w:r>
    </w:p>
    <w:bookmarkEnd w:id="6"/>
    <w:p w14:paraId="05F19771" w14:textId="6626A353" w:rsidR="00E0122B" w:rsidRDefault="00E0122B" w:rsidP="00E0122B">
      <w:pPr>
        <w:pStyle w:val="Heading1"/>
      </w:pPr>
      <w:r>
        <w:t>Electrician Survey Instrument</w:t>
      </w:r>
    </w:p>
    <w:p w14:paraId="10A26B5F" w14:textId="0DD429AC" w:rsidR="00E0122B" w:rsidRPr="00E0122B" w:rsidRDefault="00FA1596" w:rsidP="00E0122B">
      <w:r>
        <w:rPr>
          <w:noProof/>
        </w:rPr>
        <w:object w:dxaOrig="1539" w:dyaOrig="997" w14:anchorId="1F4F6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pt;height:49.5pt;mso-width-percent:0;mso-height-percent:0;mso-width-percent:0;mso-height-percent:0" o:ole="">
            <v:imagedata r:id="rId13" o:title=""/>
          </v:shape>
          <o:OLEObject Type="Embed" ProgID="Acrobat.Document.DC" ShapeID="_x0000_i1025" DrawAspect="Icon" ObjectID="_1771309786" r:id="rId14"/>
        </w:object>
      </w:r>
    </w:p>
    <w:sectPr w:rsidR="00E0122B" w:rsidRPr="00E0122B" w:rsidSect="00B06F51">
      <w:headerReference w:type="default" r:id="rId15"/>
      <w:footerReference w:type="default" r:id="rId16"/>
      <w:type w:val="continuous"/>
      <w:pgSz w:w="12240" w:h="15840" w:code="1"/>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4D244" w14:textId="77777777" w:rsidR="00B06F51" w:rsidRDefault="00B06F51">
      <w:pPr>
        <w:spacing w:after="0" w:line="240" w:lineRule="auto"/>
      </w:pPr>
      <w:r>
        <w:separator/>
      </w:r>
    </w:p>
    <w:p w14:paraId="109365EE" w14:textId="77777777" w:rsidR="00B06F51" w:rsidRDefault="00B06F51"/>
  </w:endnote>
  <w:endnote w:type="continuationSeparator" w:id="0">
    <w:p w14:paraId="597183A5" w14:textId="77777777" w:rsidR="00B06F51" w:rsidRDefault="00B06F51">
      <w:pPr>
        <w:spacing w:after="0" w:line="240" w:lineRule="auto"/>
      </w:pPr>
      <w:r>
        <w:continuationSeparator/>
      </w:r>
    </w:p>
    <w:p w14:paraId="72D4295B" w14:textId="77777777" w:rsidR="00B06F51" w:rsidRDefault="00B06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ift Soft">
    <w:panose1 w:val="00000000000000000000"/>
    <w:charset w:val="00"/>
    <w:family w:val="modern"/>
    <w:notTrueType/>
    <w:pitch w:val="variable"/>
    <w:sig w:usb0="00000007" w:usb1="00000000"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Rift Soft Medium">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STKaiti">
    <w:altName w:val="华文楷体"/>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ODExcelPlaceholder"/>
      <w:tblW w:w="0" w:type="auto"/>
      <w:tblLayout w:type="fixed"/>
      <w:tblLook w:val="04A0" w:firstRow="1" w:lastRow="0" w:firstColumn="1" w:lastColumn="0" w:noHBand="0" w:noVBand="1"/>
    </w:tblPr>
    <w:tblGrid>
      <w:gridCol w:w="5548"/>
      <w:gridCol w:w="5548"/>
    </w:tblGrid>
    <w:tr w:rsidR="007C320D" w14:paraId="35CB8082" w14:textId="77777777" w:rsidTr="008420AC">
      <w:trPr>
        <w:cnfStyle w:val="100000000000" w:firstRow="1" w:lastRow="0" w:firstColumn="0" w:lastColumn="0" w:oddVBand="0" w:evenVBand="0" w:oddHBand="0" w:evenHBand="0" w:firstRowFirstColumn="0" w:firstRowLastColumn="0" w:lastRowFirstColumn="0" w:lastRowLastColumn="0"/>
      </w:trPr>
      <w:tc>
        <w:tcPr>
          <w:tcW w:w="5548" w:type="dxa"/>
        </w:tcPr>
        <w:p w14:paraId="0DF083B8" w14:textId="77777777" w:rsidR="0040139D" w:rsidRPr="00EF048B" w:rsidRDefault="000D4AB9" w:rsidP="001F322C">
          <w:r w:rsidRPr="00CB54CF">
            <w:t>Opinion Dynamics</w:t>
          </w:r>
        </w:p>
      </w:tc>
      <w:tc>
        <w:tcPr>
          <w:tcW w:w="5548" w:type="dxa"/>
        </w:tcPr>
        <w:p w14:paraId="5EF9F226" w14:textId="77777777" w:rsidR="0040139D" w:rsidRPr="00EF048B" w:rsidRDefault="000D4AB9" w:rsidP="001F322C">
          <w:r w:rsidRPr="00CB54CF">
            <w:t xml:space="preserve">| </w:t>
          </w:r>
          <w:r w:rsidRPr="00CB54CF">
            <w:fldChar w:fldCharType="begin"/>
          </w:r>
          <w:r w:rsidRPr="00CB54CF">
            <w:instrText xml:space="preserve"> PAGE   \* MERGEFORMAT </w:instrText>
          </w:r>
          <w:r w:rsidRPr="00CB54CF">
            <w:fldChar w:fldCharType="separate"/>
          </w:r>
          <w:r w:rsidRPr="00CB54CF">
            <w:t>1</w:t>
          </w:r>
          <w:r w:rsidRPr="00CB54CF">
            <w:fldChar w:fldCharType="end"/>
          </w:r>
        </w:p>
      </w:tc>
    </w:tr>
  </w:tbl>
  <w:p w14:paraId="5B0DD9DC" w14:textId="77777777" w:rsidR="0040139D" w:rsidRDefault="0040139D" w:rsidP="001F32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ODExcelPlacehold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548"/>
      <w:gridCol w:w="5548"/>
    </w:tblGrid>
    <w:tr w:rsidR="007C320D" w14:paraId="504FB0F1" w14:textId="77777777" w:rsidTr="00444BBD">
      <w:trPr>
        <w:cnfStyle w:val="100000000000" w:firstRow="1" w:lastRow="0" w:firstColumn="0" w:lastColumn="0" w:oddVBand="0" w:evenVBand="0" w:oddHBand="0" w:evenHBand="0" w:firstRowFirstColumn="0" w:firstRowLastColumn="0" w:lastRowFirstColumn="0" w:lastRowLastColumn="0"/>
      </w:trPr>
      <w:tc>
        <w:tcPr>
          <w:tcW w:w="5548" w:type="dxa"/>
        </w:tcPr>
        <w:p w14:paraId="722EF031" w14:textId="77777777" w:rsidR="00BD573A" w:rsidRPr="00EF048B" w:rsidRDefault="000D4AB9" w:rsidP="00A02BBA">
          <w:pPr>
            <w:pStyle w:val="Footer"/>
            <w:jc w:val="left"/>
          </w:pPr>
          <w:r w:rsidRPr="00CB54CF">
            <w:t>Opinion Dynamics</w:t>
          </w:r>
        </w:p>
      </w:tc>
      <w:tc>
        <w:tcPr>
          <w:tcW w:w="5548" w:type="dxa"/>
        </w:tcPr>
        <w:p w14:paraId="0DC16BC2" w14:textId="77777777" w:rsidR="00BD573A" w:rsidRPr="00EF048B" w:rsidRDefault="000D4AB9" w:rsidP="00A02BBA">
          <w:pPr>
            <w:pStyle w:val="Footer"/>
            <w:jc w:val="right"/>
          </w:pPr>
          <w:r w:rsidRPr="00CB54CF">
            <w:fldChar w:fldCharType="begin"/>
          </w:r>
          <w:r w:rsidRPr="00CB54CF">
            <w:instrText xml:space="preserve"> PAGE   \* MERGEFORMAT </w:instrText>
          </w:r>
          <w:r w:rsidRPr="00CB54CF">
            <w:fldChar w:fldCharType="separate"/>
          </w:r>
          <w:r w:rsidRPr="00CB54CF">
            <w:t>1</w:t>
          </w:r>
          <w:r w:rsidRPr="00CB54CF">
            <w:fldChar w:fldCharType="end"/>
          </w:r>
        </w:p>
      </w:tc>
    </w:tr>
  </w:tbl>
  <w:p w14:paraId="1C43E19F" w14:textId="77777777" w:rsidR="00E842FE" w:rsidRPr="00BD573A" w:rsidRDefault="00E842FE" w:rsidP="00BD57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DABAC" w14:textId="77777777" w:rsidR="00B06F51" w:rsidRDefault="00B06F51">
      <w:pPr>
        <w:spacing w:after="0" w:line="240" w:lineRule="auto"/>
      </w:pPr>
      <w:r>
        <w:separator/>
      </w:r>
    </w:p>
  </w:footnote>
  <w:footnote w:type="continuationSeparator" w:id="0">
    <w:p w14:paraId="2E77A0B0" w14:textId="77777777" w:rsidR="00B06F51" w:rsidRDefault="00B06F51">
      <w:pPr>
        <w:spacing w:after="0" w:line="240" w:lineRule="auto"/>
      </w:pPr>
      <w:r>
        <w:continuationSeparator/>
      </w:r>
    </w:p>
    <w:p w14:paraId="3E5C488B" w14:textId="77777777" w:rsidR="00B06F51" w:rsidRDefault="00B06F51"/>
  </w:footnote>
  <w:footnote w:id="1">
    <w:p w14:paraId="70B672CB" w14:textId="35727419" w:rsidR="00023F10" w:rsidRDefault="00023F10">
      <w:pPr>
        <w:pStyle w:val="FootnoteText"/>
      </w:pPr>
      <w:r>
        <w:rPr>
          <w:rStyle w:val="FootnoteReference"/>
        </w:rPr>
        <w:footnoteRef/>
      </w:r>
      <w:r>
        <w:t xml:space="preserve"> For the residential electrician survey, 31% said they use sub-panels ‘most often’, 40% said they use them ‘often’, and 29% said they use them ‘sometimes’. </w:t>
      </w:r>
      <w:r w:rsidR="00273982">
        <w:t xml:space="preserve">For the commercial electrician survey the results were 21% for ‘most often’, 45% for ‘often’, and 33% for ‘sometimes’. The other optimization approaches were commonly cites as being used ‘sometimes’, ‘rarely’, or ‘never’. </w:t>
      </w:r>
    </w:p>
  </w:footnote>
  <w:footnote w:id="2">
    <w:p w14:paraId="05C075A9" w14:textId="35135919" w:rsidR="00172121" w:rsidRDefault="00172121">
      <w:pPr>
        <w:pStyle w:val="FootnoteText"/>
      </w:pPr>
      <w:r>
        <w:rPr>
          <w:rStyle w:val="FootnoteReference"/>
        </w:rPr>
        <w:footnoteRef/>
      </w:r>
      <w:r>
        <w:t xml:space="preserve"> The IQR is a common way to identify outliers in a dataset. Specifically, the IQR represents the middle 50% of the dataset and is defined as the difference between the 75</w:t>
      </w:r>
      <w:r w:rsidRPr="002C2638">
        <w:rPr>
          <w:vertAlign w:val="superscript"/>
        </w:rPr>
        <w:t>th</w:t>
      </w:r>
      <w:r>
        <w:t xml:space="preserve"> and 25</w:t>
      </w:r>
      <w:r w:rsidRPr="002C2638">
        <w:rPr>
          <w:vertAlign w:val="superscript"/>
        </w:rPr>
        <w:t>th</w:t>
      </w:r>
      <w:r>
        <w:t xml:space="preserve"> percentiles of the data. </w:t>
      </w:r>
    </w:p>
  </w:footnote>
  <w:footnote w:id="3">
    <w:p w14:paraId="51B25937" w14:textId="154EE7B6" w:rsidR="007F0E30" w:rsidRDefault="007F0E30">
      <w:pPr>
        <w:pStyle w:val="FootnoteText"/>
      </w:pPr>
      <w:r>
        <w:rPr>
          <w:rStyle w:val="FootnoteReference"/>
        </w:rPr>
        <w:footnoteRef/>
      </w:r>
      <w:r>
        <w:t xml:space="preserve"> This is a weighted average of the simple connection costs, panel upgrade costs, and panel optimization costs based on the relevant proportions of those scenarios.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E249B" w14:textId="77777777" w:rsidR="0040139D" w:rsidRDefault="000D4AB9" w:rsidP="00AE2204">
    <w:r>
      <w:rPr>
        <w:noProof/>
      </w:rPr>
      <w:drawing>
        <wp:anchor distT="0" distB="0" distL="114300" distR="114300" simplePos="0" relativeHeight="251659264" behindDoc="0" locked="1" layoutInCell="1" allowOverlap="1" wp14:anchorId="59BEC0F0" wp14:editId="05FCABEE">
          <wp:simplePos x="0" y="0"/>
          <wp:positionH relativeFrom="page">
            <wp:posOffset>0</wp:posOffset>
          </wp:positionH>
          <wp:positionV relativeFrom="page">
            <wp:posOffset>0</wp:posOffset>
          </wp:positionV>
          <wp:extent cx="7896225" cy="266700"/>
          <wp:effectExtent l="0" t="0" r="9525" b="0"/>
          <wp:wrapThrough wrapText="bothSides">
            <wp:wrapPolygon edited="0">
              <wp:start x="0" y="0"/>
              <wp:lineTo x="0" y="20057"/>
              <wp:lineTo x="21574" y="20057"/>
              <wp:lineTo x="21574" y="0"/>
              <wp:lineTo x="0" y="0"/>
            </wp:wrapPolygon>
          </wp:wrapThrough>
          <wp:docPr id="230441103" name="Picture 23044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41103"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896225" cy="266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7DD39" w14:textId="77777777" w:rsidR="00E842FE" w:rsidRDefault="000D4AB9">
    <w:r>
      <w:rPr>
        <w:noProof/>
      </w:rPr>
      <w:drawing>
        <wp:anchor distT="0" distB="0" distL="114300" distR="114300" simplePos="0" relativeHeight="251658240" behindDoc="0" locked="1" layoutInCell="1" allowOverlap="1" wp14:anchorId="495C7CC9" wp14:editId="7C2C151D">
          <wp:simplePos x="0" y="0"/>
          <wp:positionH relativeFrom="page">
            <wp:posOffset>0</wp:posOffset>
          </wp:positionH>
          <wp:positionV relativeFrom="page">
            <wp:posOffset>0</wp:posOffset>
          </wp:positionV>
          <wp:extent cx="7896225" cy="266700"/>
          <wp:effectExtent l="0" t="0" r="9525" b="0"/>
          <wp:wrapThrough wrapText="bothSides">
            <wp:wrapPolygon edited="0">
              <wp:start x="0" y="0"/>
              <wp:lineTo x="0" y="20057"/>
              <wp:lineTo x="21574" y="20057"/>
              <wp:lineTo x="21574" y="0"/>
              <wp:lineTo x="0" y="0"/>
            </wp:wrapPolygon>
          </wp:wrapThrough>
          <wp:docPr id="981587770" name="Picture 98158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77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896225" cy="266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B104B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75F80716"/>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2" w15:restartNumberingAfterBreak="0">
    <w:nsid w:val="00000002"/>
    <w:multiLevelType w:val="multilevel"/>
    <w:tmpl w:val="75F80716"/>
    <w:lvl w:ilvl="0">
      <w:start w:val="1"/>
      <w:numFmt w:val="bullet"/>
      <w:pStyle w:val="Bullet2"/>
      <w:lvlText w:val=""/>
      <w:lvlJc w:val="left"/>
      <w:pPr>
        <w:ind w:left="720" w:hanging="360"/>
      </w:pPr>
      <w:rPr>
        <w:rFonts w:ascii="Wingdings" w:hAnsi="Wingdings" w:hint="default"/>
        <w:color w:val="053572"/>
        <w:sz w:val="22"/>
      </w:rPr>
    </w:lvl>
    <w:lvl w:ilvl="1">
      <w:start w:val="1"/>
      <w:numFmt w:val="bullet"/>
      <w:pStyle w:val="Bullet2"/>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3" w15:restartNumberingAfterBreak="0">
    <w:nsid w:val="00000003"/>
    <w:multiLevelType w:val="multilevel"/>
    <w:tmpl w:val="75F80716"/>
    <w:lvl w:ilvl="0">
      <w:start w:val="1"/>
      <w:numFmt w:val="bullet"/>
      <w:lvlText w:val=""/>
      <w:lvlJc w:val="left"/>
      <w:pPr>
        <w:ind w:left="720" w:hanging="360"/>
      </w:pPr>
      <w:rPr>
        <w:rFonts w:ascii="Wingdings" w:hAnsi="Wingdings" w:hint="default"/>
        <w:color w:val="053572"/>
        <w:sz w:val="22"/>
      </w:rPr>
    </w:lvl>
    <w:lvl w:ilvl="1">
      <w:start w:val="1"/>
      <w:numFmt w:val="bullet"/>
      <w:pStyle w:val="Bullet3"/>
      <w:lvlText w:val=""/>
      <w:lvlJc w:val="left"/>
      <w:pPr>
        <w:ind w:left="1080" w:hanging="360"/>
      </w:pPr>
      <w:rPr>
        <w:rFonts w:ascii="Wingdings" w:hAnsi="Wingdings" w:hint="default"/>
        <w:color w:val="1295D8"/>
        <w:sz w:val="22"/>
      </w:rPr>
    </w:lvl>
    <w:lvl w:ilvl="2">
      <w:start w:val="1"/>
      <w:numFmt w:val="bullet"/>
      <w:lvlRestart w:val="0"/>
      <w:pStyle w:val="Bullet3"/>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4" w15:restartNumberingAfterBreak="0">
    <w:nsid w:val="00000004"/>
    <w:multiLevelType w:val="hybridMultilevel"/>
    <w:tmpl w:val="1B8E5A38"/>
    <w:lvl w:ilvl="0" w:tplc="56E88874">
      <w:start w:val="1"/>
      <w:numFmt w:val="decimal"/>
      <w:pStyle w:val="CaptionFigure"/>
      <w:suff w:val="space"/>
      <w:lvlText w:val="Figure %1."/>
      <w:lvlJc w:val="left"/>
      <w:pPr>
        <w:ind w:left="0" w:firstLine="0"/>
      </w:pPr>
      <w:rPr>
        <w:rFonts w:hint="default"/>
      </w:rPr>
    </w:lvl>
    <w:lvl w:ilvl="1" w:tplc="4052086A" w:tentative="1">
      <w:start w:val="1"/>
      <w:numFmt w:val="lowerLetter"/>
      <w:lvlText w:val="%2."/>
      <w:lvlJc w:val="left"/>
      <w:pPr>
        <w:ind w:left="1440" w:hanging="360"/>
      </w:pPr>
    </w:lvl>
    <w:lvl w:ilvl="2" w:tplc="266A147A" w:tentative="1">
      <w:start w:val="1"/>
      <w:numFmt w:val="lowerRoman"/>
      <w:lvlText w:val="%3."/>
      <w:lvlJc w:val="right"/>
      <w:pPr>
        <w:ind w:left="2160" w:hanging="180"/>
      </w:pPr>
    </w:lvl>
    <w:lvl w:ilvl="3" w:tplc="DE64582A" w:tentative="1">
      <w:start w:val="1"/>
      <w:numFmt w:val="decimal"/>
      <w:lvlText w:val="%4."/>
      <w:lvlJc w:val="left"/>
      <w:pPr>
        <w:ind w:left="2880" w:hanging="360"/>
      </w:pPr>
    </w:lvl>
    <w:lvl w:ilvl="4" w:tplc="DD2C6B0A" w:tentative="1">
      <w:start w:val="1"/>
      <w:numFmt w:val="lowerLetter"/>
      <w:lvlText w:val="%5."/>
      <w:lvlJc w:val="left"/>
      <w:pPr>
        <w:ind w:left="3600" w:hanging="360"/>
      </w:pPr>
    </w:lvl>
    <w:lvl w:ilvl="5" w:tplc="C7382350" w:tentative="1">
      <w:start w:val="1"/>
      <w:numFmt w:val="lowerRoman"/>
      <w:lvlText w:val="%6."/>
      <w:lvlJc w:val="right"/>
      <w:pPr>
        <w:ind w:left="4320" w:hanging="180"/>
      </w:pPr>
    </w:lvl>
    <w:lvl w:ilvl="6" w:tplc="2A8EF032" w:tentative="1">
      <w:start w:val="1"/>
      <w:numFmt w:val="decimal"/>
      <w:lvlText w:val="%7."/>
      <w:lvlJc w:val="left"/>
      <w:pPr>
        <w:ind w:left="5040" w:hanging="360"/>
      </w:pPr>
    </w:lvl>
    <w:lvl w:ilvl="7" w:tplc="6068D17E" w:tentative="1">
      <w:start w:val="1"/>
      <w:numFmt w:val="lowerLetter"/>
      <w:lvlText w:val="%8."/>
      <w:lvlJc w:val="left"/>
      <w:pPr>
        <w:ind w:left="5760" w:hanging="360"/>
      </w:pPr>
    </w:lvl>
    <w:lvl w:ilvl="8" w:tplc="610C6D54" w:tentative="1">
      <w:start w:val="1"/>
      <w:numFmt w:val="lowerRoman"/>
      <w:lvlText w:val="%9."/>
      <w:lvlJc w:val="right"/>
      <w:pPr>
        <w:ind w:left="6480" w:hanging="180"/>
      </w:pPr>
    </w:lvl>
  </w:abstractNum>
  <w:abstractNum w:abstractNumId="5" w15:restartNumberingAfterBreak="0">
    <w:nsid w:val="00000005"/>
    <w:multiLevelType w:val="hybridMultilevel"/>
    <w:tmpl w:val="F0A220D0"/>
    <w:lvl w:ilvl="0" w:tplc="3DA8E5CE">
      <w:start w:val="1"/>
      <w:numFmt w:val="decimal"/>
      <w:pStyle w:val="CaptionTable"/>
      <w:suff w:val="space"/>
      <w:lvlText w:val="Table %1."/>
      <w:lvlJc w:val="left"/>
      <w:pPr>
        <w:ind w:left="0" w:firstLine="0"/>
      </w:pPr>
      <w:rPr>
        <w:rFonts w:hint="default"/>
      </w:rPr>
    </w:lvl>
    <w:lvl w:ilvl="1" w:tplc="9EAEE094" w:tentative="1">
      <w:start w:val="1"/>
      <w:numFmt w:val="lowerLetter"/>
      <w:lvlText w:val="%2."/>
      <w:lvlJc w:val="left"/>
      <w:pPr>
        <w:ind w:left="1440" w:hanging="360"/>
      </w:pPr>
    </w:lvl>
    <w:lvl w:ilvl="2" w:tplc="3ABA3FA6" w:tentative="1">
      <w:start w:val="1"/>
      <w:numFmt w:val="lowerRoman"/>
      <w:lvlText w:val="%3."/>
      <w:lvlJc w:val="right"/>
      <w:pPr>
        <w:ind w:left="2160" w:hanging="180"/>
      </w:pPr>
    </w:lvl>
    <w:lvl w:ilvl="3" w:tplc="3EEEB0EA" w:tentative="1">
      <w:start w:val="1"/>
      <w:numFmt w:val="decimal"/>
      <w:lvlText w:val="%4."/>
      <w:lvlJc w:val="left"/>
      <w:pPr>
        <w:ind w:left="2880" w:hanging="360"/>
      </w:pPr>
    </w:lvl>
    <w:lvl w:ilvl="4" w:tplc="7EAC3240" w:tentative="1">
      <w:start w:val="1"/>
      <w:numFmt w:val="lowerLetter"/>
      <w:lvlText w:val="%5."/>
      <w:lvlJc w:val="left"/>
      <w:pPr>
        <w:ind w:left="3600" w:hanging="360"/>
      </w:pPr>
    </w:lvl>
    <w:lvl w:ilvl="5" w:tplc="12E0921E" w:tentative="1">
      <w:start w:val="1"/>
      <w:numFmt w:val="lowerRoman"/>
      <w:lvlText w:val="%6."/>
      <w:lvlJc w:val="right"/>
      <w:pPr>
        <w:ind w:left="4320" w:hanging="180"/>
      </w:pPr>
    </w:lvl>
    <w:lvl w:ilvl="6" w:tplc="ED321540" w:tentative="1">
      <w:start w:val="1"/>
      <w:numFmt w:val="decimal"/>
      <w:lvlText w:val="%7."/>
      <w:lvlJc w:val="left"/>
      <w:pPr>
        <w:ind w:left="5040" w:hanging="360"/>
      </w:pPr>
    </w:lvl>
    <w:lvl w:ilvl="7" w:tplc="BF861E44" w:tentative="1">
      <w:start w:val="1"/>
      <w:numFmt w:val="lowerLetter"/>
      <w:lvlText w:val="%8."/>
      <w:lvlJc w:val="left"/>
      <w:pPr>
        <w:ind w:left="5760" w:hanging="360"/>
      </w:pPr>
    </w:lvl>
    <w:lvl w:ilvl="8" w:tplc="727A35E4" w:tentative="1">
      <w:start w:val="1"/>
      <w:numFmt w:val="lowerRoman"/>
      <w:lvlText w:val="%9."/>
      <w:lvlJc w:val="right"/>
      <w:pPr>
        <w:ind w:left="6480" w:hanging="180"/>
      </w:pPr>
    </w:lvl>
  </w:abstractNum>
  <w:abstractNum w:abstractNumId="6" w15:restartNumberingAfterBreak="0">
    <w:nsid w:val="00000006"/>
    <w:multiLevelType w:val="multilevel"/>
    <w:tmpl w:val="7694A4F6"/>
    <w:lvl w:ilvl="0">
      <w:start w:val="1"/>
      <w:numFmt w:val="decimal"/>
      <w:lvlText w:val="%1."/>
      <w:lvlJc w:val="left"/>
      <w:pPr>
        <w:tabs>
          <w:tab w:val="num" w:pos="1080"/>
        </w:tabs>
        <w:ind w:left="0" w:firstLine="0"/>
      </w:pPr>
      <w:rPr>
        <w:rFonts w:hint="default"/>
      </w:rPr>
    </w:lvl>
    <w:lvl w:ilvl="1">
      <w:start w:val="1"/>
      <w:numFmt w:val="decimal"/>
      <w:lvlText w:val="%1.%2"/>
      <w:lvlJc w:val="left"/>
      <w:pPr>
        <w:tabs>
          <w:tab w:val="num" w:pos="1080"/>
        </w:tabs>
        <w:ind w:left="0" w:firstLine="0"/>
      </w:pPr>
    </w:lvl>
    <w:lvl w:ilvl="2">
      <w:start w:val="1"/>
      <w:numFmt w:val="decimal"/>
      <w:lvlText w:val="%1.%2.%3"/>
      <w:lvlJc w:val="left"/>
      <w:pPr>
        <w:tabs>
          <w:tab w:val="num" w:pos="1080"/>
        </w:tabs>
        <w:ind w:left="0" w:firstLine="0"/>
      </w:pPr>
      <w:rPr>
        <w:rFonts w:cs="Times New Roman"/>
        <w:b w:val="0"/>
        <w:bCs w:val="0"/>
        <w:i w:val="0"/>
        <w:iCs w:val="0"/>
        <w:caps w:val="0"/>
        <w:smallCaps w:val="0"/>
        <w:strike w:val="0"/>
        <w:dstrike w:val="0"/>
        <w:outline w:val="0"/>
        <w:shadow w:val="0"/>
        <w:emboss w:val="0"/>
        <w:imprint w:val="0"/>
        <w:noProof w:val="0"/>
        <w:vanish w:val="0"/>
        <w:color w:val="265EAC" w:themeColor="accent2"/>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7" w15:restartNumberingAfterBreak="0">
    <w:nsid w:val="00000009"/>
    <w:multiLevelType w:val="singleLevel"/>
    <w:tmpl w:val="01A6B67E"/>
    <w:lvl w:ilvl="0">
      <w:start w:val="1"/>
      <w:numFmt w:val="decimal"/>
      <w:pStyle w:val="ListNumber"/>
      <w:lvlText w:val="%1."/>
      <w:lvlJc w:val="left"/>
      <w:pPr>
        <w:tabs>
          <w:tab w:val="num" w:pos="360"/>
        </w:tabs>
        <w:ind w:left="360" w:hanging="360"/>
      </w:pPr>
    </w:lvl>
  </w:abstractNum>
  <w:abstractNum w:abstractNumId="8" w15:restartNumberingAfterBreak="0">
    <w:nsid w:val="0000000A"/>
    <w:multiLevelType w:val="singleLevel"/>
    <w:tmpl w:val="AB1A98D2"/>
    <w:lvl w:ilvl="0">
      <w:start w:val="1"/>
      <w:numFmt w:val="decimal"/>
      <w:pStyle w:val="ListNumber2"/>
      <w:lvlText w:val="%1."/>
      <w:lvlJc w:val="left"/>
      <w:pPr>
        <w:tabs>
          <w:tab w:val="num" w:pos="720"/>
        </w:tabs>
        <w:ind w:left="720" w:hanging="360"/>
      </w:pPr>
    </w:lvl>
  </w:abstractNum>
  <w:abstractNum w:abstractNumId="9" w15:restartNumberingAfterBreak="0">
    <w:nsid w:val="0000000B"/>
    <w:multiLevelType w:val="singleLevel"/>
    <w:tmpl w:val="57B63BE6"/>
    <w:lvl w:ilvl="0">
      <w:start w:val="1"/>
      <w:numFmt w:val="decimal"/>
      <w:pStyle w:val="ListNumber3"/>
      <w:lvlText w:val="%1."/>
      <w:lvlJc w:val="left"/>
      <w:pPr>
        <w:tabs>
          <w:tab w:val="num" w:pos="1080"/>
        </w:tabs>
        <w:ind w:left="1080" w:hanging="360"/>
      </w:pPr>
    </w:lvl>
  </w:abstractNum>
  <w:abstractNum w:abstractNumId="10" w15:restartNumberingAfterBreak="0">
    <w:nsid w:val="0000000C"/>
    <w:multiLevelType w:val="multilevel"/>
    <w:tmpl w:val="7C74D798"/>
    <w:lvl w:ilvl="0">
      <w:start w:val="1"/>
      <w:numFmt w:val="decimal"/>
      <w:pStyle w:val="NoList1"/>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000000D"/>
    <w:multiLevelType w:val="multilevel"/>
    <w:tmpl w:val="CA48C9AC"/>
    <w:lvl w:ilvl="0">
      <w:start w:val="1"/>
      <w:numFmt w:val="decimal"/>
      <w:lvlText w:val="%1."/>
      <w:lvlJc w:val="left"/>
      <w:pPr>
        <w:ind w:left="360" w:hanging="360"/>
      </w:pPr>
      <w:rPr>
        <w:rFonts w:hint="default"/>
        <w:b w:val="0"/>
        <w:i w:val="0"/>
        <w:color w:val="auto"/>
        <w:sz w:val="22"/>
      </w:rPr>
    </w:lvl>
    <w:lvl w:ilvl="1">
      <w:start w:val="1"/>
      <w:numFmt w:val="lowerLetter"/>
      <w:pStyle w:val="NoList2"/>
      <w:lvlText w:val="%2."/>
      <w:lvlJc w:val="left"/>
      <w:pPr>
        <w:ind w:left="720" w:hanging="360"/>
      </w:p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000000E"/>
    <w:multiLevelType w:val="multilevel"/>
    <w:tmpl w:val="73526CFC"/>
    <w:lvl w:ilvl="0">
      <w:start w:val="1"/>
      <w:numFmt w:val="decimal"/>
      <w:lvlText w:val="%1."/>
      <w:lvlJc w:val="left"/>
      <w:pPr>
        <w:ind w:left="360" w:hanging="360"/>
      </w:pPr>
      <w:rPr>
        <w:rFonts w:hint="default"/>
        <w:b w:val="0"/>
        <w:i w:val="0"/>
        <w:color w:val="auto"/>
        <w:sz w:val="22"/>
      </w:rPr>
    </w:lvl>
    <w:lvl w:ilvl="1">
      <w:start w:val="1"/>
      <w:numFmt w:val="lowerLetter"/>
      <w:lvlText w:val="%2."/>
      <w:lvlJc w:val="left"/>
      <w:pPr>
        <w:ind w:left="720" w:hanging="360"/>
      </w:pPr>
      <w:rPr>
        <w:rFonts w:hint="default"/>
        <w:color w:val="auto"/>
      </w:rPr>
    </w:lvl>
    <w:lvl w:ilvl="2">
      <w:start w:val="1"/>
      <w:numFmt w:val="lowerRoman"/>
      <w:pStyle w:val="NoList3"/>
      <w:lvlText w:val="%3."/>
      <w:lvlJc w:val="left"/>
      <w:pPr>
        <w:ind w:left="1080" w:hanging="360"/>
      </w:pPr>
      <w:rPr>
        <w:rFonts w:hint="default"/>
        <w:color w:val="4A4D56" w:themeColor="text1"/>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0000012"/>
    <w:multiLevelType w:val="multilevel"/>
    <w:tmpl w:val="62AA902E"/>
    <w:lvl w:ilvl="0">
      <w:start w:val="1"/>
      <w:numFmt w:val="bullet"/>
      <w:pStyle w:val="TableBullet"/>
      <w:lvlText w:val=""/>
      <w:lvlJc w:val="left"/>
      <w:pPr>
        <w:ind w:left="720" w:hanging="360"/>
      </w:pPr>
      <w:rPr>
        <w:rFonts w:ascii="Wingdings" w:hAnsi="Wingdings" w:hint="default"/>
        <w:color w:val="053572" w:themeColor="text2"/>
        <w:sz w:val="20"/>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14" w15:restartNumberingAfterBreak="0">
    <w:nsid w:val="1E6D62B1"/>
    <w:multiLevelType w:val="hybridMultilevel"/>
    <w:tmpl w:val="D3B4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E7210"/>
    <w:multiLevelType w:val="hybridMultilevel"/>
    <w:tmpl w:val="49ACD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D6C61"/>
    <w:multiLevelType w:val="hybridMultilevel"/>
    <w:tmpl w:val="57AA98B0"/>
    <w:lvl w:ilvl="0" w:tplc="303A6FAC">
      <w:start w:val="1"/>
      <w:numFmt w:val="bullet"/>
      <w:pStyle w:val="ListBullet"/>
      <w:lvlText w:val=""/>
      <w:lvlJc w:val="left"/>
      <w:pPr>
        <w:ind w:left="540" w:hanging="360"/>
      </w:pPr>
      <w:rPr>
        <w:rFonts w:ascii="Wingdings" w:hAnsi="Wingdings" w:hint="default"/>
        <w:color w:val="053572" w:themeColor="text2"/>
      </w:rPr>
    </w:lvl>
    <w:lvl w:ilvl="1" w:tplc="9138973A">
      <w:start w:val="1"/>
      <w:numFmt w:val="bullet"/>
      <w:pStyle w:val="ListBullet2"/>
      <w:lvlText w:val=""/>
      <w:lvlJc w:val="left"/>
      <w:pPr>
        <w:ind w:left="2670" w:hanging="360"/>
      </w:pPr>
      <w:rPr>
        <w:rFonts w:ascii="Wingdings" w:hAnsi="Wingdings" w:hint="default"/>
        <w:color w:val="1FA9E1" w:themeColor="accent3"/>
      </w:rPr>
    </w:lvl>
    <w:lvl w:ilvl="2" w:tplc="33D260E4">
      <w:start w:val="1"/>
      <w:numFmt w:val="bullet"/>
      <w:pStyle w:val="ListBullet3"/>
      <w:lvlText w:val=""/>
      <w:lvlJc w:val="left"/>
      <w:pPr>
        <w:ind w:left="3390" w:hanging="360"/>
      </w:pPr>
      <w:rPr>
        <w:rFonts w:ascii="Wingdings" w:hAnsi="Wingdings" w:hint="default"/>
        <w:color w:val="7E83C0" w:themeColor="accent4"/>
      </w:rPr>
    </w:lvl>
    <w:lvl w:ilvl="3" w:tplc="93CEF16C" w:tentative="1">
      <w:start w:val="1"/>
      <w:numFmt w:val="bullet"/>
      <w:lvlText w:val=""/>
      <w:lvlJc w:val="left"/>
      <w:pPr>
        <w:ind w:left="4110" w:hanging="360"/>
      </w:pPr>
      <w:rPr>
        <w:rFonts w:ascii="Symbol" w:hAnsi="Symbol" w:hint="default"/>
      </w:rPr>
    </w:lvl>
    <w:lvl w:ilvl="4" w:tplc="8126FF06" w:tentative="1">
      <w:start w:val="1"/>
      <w:numFmt w:val="bullet"/>
      <w:lvlText w:val="o"/>
      <w:lvlJc w:val="left"/>
      <w:pPr>
        <w:ind w:left="4830" w:hanging="360"/>
      </w:pPr>
      <w:rPr>
        <w:rFonts w:ascii="Courier New" w:hAnsi="Courier New" w:cs="Courier New" w:hint="default"/>
      </w:rPr>
    </w:lvl>
    <w:lvl w:ilvl="5" w:tplc="148A4FCC" w:tentative="1">
      <w:start w:val="1"/>
      <w:numFmt w:val="bullet"/>
      <w:lvlText w:val=""/>
      <w:lvlJc w:val="left"/>
      <w:pPr>
        <w:ind w:left="5550" w:hanging="360"/>
      </w:pPr>
      <w:rPr>
        <w:rFonts w:ascii="Wingdings" w:hAnsi="Wingdings" w:hint="default"/>
      </w:rPr>
    </w:lvl>
    <w:lvl w:ilvl="6" w:tplc="CCA44C88" w:tentative="1">
      <w:start w:val="1"/>
      <w:numFmt w:val="bullet"/>
      <w:lvlText w:val=""/>
      <w:lvlJc w:val="left"/>
      <w:pPr>
        <w:ind w:left="6270" w:hanging="360"/>
      </w:pPr>
      <w:rPr>
        <w:rFonts w:ascii="Symbol" w:hAnsi="Symbol" w:hint="default"/>
      </w:rPr>
    </w:lvl>
    <w:lvl w:ilvl="7" w:tplc="76A06480" w:tentative="1">
      <w:start w:val="1"/>
      <w:numFmt w:val="bullet"/>
      <w:lvlText w:val="o"/>
      <w:lvlJc w:val="left"/>
      <w:pPr>
        <w:ind w:left="6990" w:hanging="360"/>
      </w:pPr>
      <w:rPr>
        <w:rFonts w:ascii="Courier New" w:hAnsi="Courier New" w:cs="Courier New" w:hint="default"/>
      </w:rPr>
    </w:lvl>
    <w:lvl w:ilvl="8" w:tplc="06F402DC" w:tentative="1">
      <w:start w:val="1"/>
      <w:numFmt w:val="bullet"/>
      <w:lvlText w:val=""/>
      <w:lvlJc w:val="left"/>
      <w:pPr>
        <w:ind w:left="7710" w:hanging="360"/>
      </w:pPr>
      <w:rPr>
        <w:rFonts w:ascii="Wingdings" w:hAnsi="Wingdings" w:hint="default"/>
      </w:rPr>
    </w:lvl>
  </w:abstractNum>
  <w:abstractNum w:abstractNumId="17" w15:restartNumberingAfterBreak="0">
    <w:nsid w:val="575D65CB"/>
    <w:multiLevelType w:val="multilevel"/>
    <w:tmpl w:val="359AAF8C"/>
    <w:styleLink w:val="ODXAPPENDIX"/>
    <w:lvl w:ilvl="0">
      <w:start w:val="1"/>
      <w:numFmt w:val="upperLetter"/>
      <w:lvlText w:val="APPENDIX %1 "/>
      <w:lvlJc w:val="left"/>
      <w:pPr>
        <w:ind w:left="360" w:hanging="360"/>
      </w:pPr>
      <w:rPr>
        <w:rFonts w:ascii="Rift Soft" w:hAnsi="Rift Soft" w:hint="default"/>
        <w:color w:val="053572" w:themeColor="text2"/>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24E5C8B"/>
    <w:multiLevelType w:val="multilevel"/>
    <w:tmpl w:val="E6E2F988"/>
    <w:name w:val="Appendix Headings"/>
    <w:lvl w:ilvl="0">
      <w:start w:val="1"/>
      <w:numFmt w:val="upperLetter"/>
      <w:lvlText w:val="APPENDIX %1. "/>
      <w:lvlJc w:val="left"/>
      <w:pPr>
        <w:ind w:left="2268" w:hanging="2268"/>
      </w:pPr>
      <w:rPr>
        <w:rFonts w:ascii="Rift Soft" w:hAnsi="Rift Soft" w:hint="default"/>
        <w:color w:val="053572" w:themeColor="text2"/>
        <w:sz w:val="36"/>
      </w:rPr>
    </w:lvl>
    <w:lvl w:ilvl="1">
      <w:start w:val="1"/>
      <w:numFmt w:val="upperRoman"/>
      <w:lvlText w:val="APPENDIX %1-%2."/>
      <w:lvlJc w:val="left"/>
      <w:pPr>
        <w:ind w:left="2268" w:hanging="2268"/>
      </w:pPr>
      <w:rPr>
        <w:rFonts w:ascii="Rift Soft" w:hAnsi="Rift Soft" w:hint="default"/>
        <w:color w:val="1FA9E1" w:themeColor="accent3"/>
        <w:sz w:val="36"/>
      </w:rPr>
    </w:lvl>
    <w:lvl w:ilvl="2">
      <w:start w:val="1"/>
      <w:numFmt w:val="upperRoman"/>
      <w:lvlText w:val="APPENDIX %1-%2.%3."/>
      <w:lvlJc w:val="left"/>
      <w:pPr>
        <w:ind w:left="2268" w:hanging="2268"/>
      </w:pPr>
      <w:rPr>
        <w:rFonts w:ascii="Rift Soft" w:hAnsi="Rift Soft" w:hint="default"/>
        <w:color w:val="4A4D56" w:themeColor="text1"/>
        <w:sz w:val="32"/>
      </w:rPr>
    </w:lvl>
    <w:lvl w:ilvl="3">
      <w:start w:val="1"/>
      <w:numFmt w:val="decimal"/>
      <w:lvlText w:val="%4."/>
      <w:lvlJc w:val="left"/>
      <w:pPr>
        <w:ind w:left="2268" w:hanging="2268"/>
      </w:pPr>
      <w:rPr>
        <w:rFonts w:hint="default"/>
      </w:rPr>
    </w:lvl>
    <w:lvl w:ilvl="4">
      <w:start w:val="1"/>
      <w:numFmt w:val="lowerLetter"/>
      <w:lvlText w:val="%5."/>
      <w:lvlJc w:val="left"/>
      <w:pPr>
        <w:ind w:left="2268" w:hanging="2268"/>
      </w:pPr>
      <w:rPr>
        <w:rFonts w:hint="default"/>
      </w:rPr>
    </w:lvl>
    <w:lvl w:ilvl="5">
      <w:start w:val="1"/>
      <w:numFmt w:val="lowerRoman"/>
      <w:lvlText w:val="%6."/>
      <w:lvlJc w:val="right"/>
      <w:pPr>
        <w:ind w:left="2268" w:hanging="2268"/>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268" w:hanging="2268"/>
      </w:pPr>
      <w:rPr>
        <w:rFonts w:hint="default"/>
      </w:rPr>
    </w:lvl>
    <w:lvl w:ilvl="8">
      <w:start w:val="1"/>
      <w:numFmt w:val="lowerRoman"/>
      <w:lvlText w:val="%9."/>
      <w:lvlJc w:val="right"/>
      <w:pPr>
        <w:ind w:left="2268" w:hanging="2268"/>
      </w:pPr>
      <w:rPr>
        <w:rFonts w:hint="default"/>
      </w:rPr>
    </w:lvl>
  </w:abstractNum>
  <w:num w:numId="1" w16cid:durableId="1361206283">
    <w:abstractNumId w:val="1"/>
  </w:num>
  <w:num w:numId="2" w16cid:durableId="545600677">
    <w:abstractNumId w:val="2"/>
  </w:num>
  <w:num w:numId="3" w16cid:durableId="1299147011">
    <w:abstractNumId w:val="3"/>
  </w:num>
  <w:num w:numId="4" w16cid:durableId="1501771948">
    <w:abstractNumId w:val="4"/>
  </w:num>
  <w:num w:numId="5" w16cid:durableId="556820789">
    <w:abstractNumId w:val="5"/>
  </w:num>
  <w:num w:numId="6" w16cid:durableId="2095126736">
    <w:abstractNumId w:val="6"/>
  </w:num>
  <w:num w:numId="7" w16cid:durableId="1435440616">
    <w:abstractNumId w:val="7"/>
  </w:num>
  <w:num w:numId="8" w16cid:durableId="1899240670">
    <w:abstractNumId w:val="8"/>
  </w:num>
  <w:num w:numId="9" w16cid:durableId="1607806446">
    <w:abstractNumId w:val="9"/>
  </w:num>
  <w:num w:numId="10" w16cid:durableId="614562843">
    <w:abstractNumId w:val="10"/>
  </w:num>
  <w:num w:numId="11" w16cid:durableId="1790003988">
    <w:abstractNumId w:val="11"/>
  </w:num>
  <w:num w:numId="12" w16cid:durableId="699361803">
    <w:abstractNumId w:val="12"/>
  </w:num>
  <w:num w:numId="13" w16cid:durableId="1925264602">
    <w:abstractNumId w:val="13"/>
  </w:num>
  <w:num w:numId="14" w16cid:durableId="1804107596">
    <w:abstractNumId w:val="16"/>
  </w:num>
  <w:num w:numId="15" w16cid:durableId="1244608247">
    <w:abstractNumId w:val="17"/>
  </w:num>
  <w:num w:numId="16" w16cid:durableId="1371999592">
    <w:abstractNumId w:val="18"/>
  </w:num>
  <w:num w:numId="17" w16cid:durableId="491943967">
    <w:abstractNumId w:val="15"/>
  </w:num>
  <w:num w:numId="18" w16cid:durableId="1345936574">
    <w:abstractNumId w:val="14"/>
  </w:num>
  <w:num w:numId="19" w16cid:durableId="80216266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1NDe1NDKzMDQ2MjBU0lEKTi0uzszPAykwNKkFAP0Vd0AtAAAA"/>
  </w:docVars>
  <w:rsids>
    <w:rsidRoot w:val="00B22EEE"/>
    <w:rsid w:val="00002523"/>
    <w:rsid w:val="00011B72"/>
    <w:rsid w:val="00011F83"/>
    <w:rsid w:val="00016263"/>
    <w:rsid w:val="000163F4"/>
    <w:rsid w:val="00020DAC"/>
    <w:rsid w:val="00023F10"/>
    <w:rsid w:val="000274B9"/>
    <w:rsid w:val="00030B8D"/>
    <w:rsid w:val="000317D8"/>
    <w:rsid w:val="00032DF9"/>
    <w:rsid w:val="000413E8"/>
    <w:rsid w:val="00041AA5"/>
    <w:rsid w:val="00046703"/>
    <w:rsid w:val="00050F40"/>
    <w:rsid w:val="0006058A"/>
    <w:rsid w:val="000645E3"/>
    <w:rsid w:val="000A0C88"/>
    <w:rsid w:val="000B5648"/>
    <w:rsid w:val="000C2EF9"/>
    <w:rsid w:val="000D4AB9"/>
    <w:rsid w:val="000E0419"/>
    <w:rsid w:val="000E0856"/>
    <w:rsid w:val="000E0ECE"/>
    <w:rsid w:val="000F2C3E"/>
    <w:rsid w:val="000F5311"/>
    <w:rsid w:val="00100B7A"/>
    <w:rsid w:val="00105940"/>
    <w:rsid w:val="00112DC5"/>
    <w:rsid w:val="001155B7"/>
    <w:rsid w:val="00134ABC"/>
    <w:rsid w:val="0013593F"/>
    <w:rsid w:val="00144B1E"/>
    <w:rsid w:val="00153DBC"/>
    <w:rsid w:val="00155088"/>
    <w:rsid w:val="00155875"/>
    <w:rsid w:val="00157D54"/>
    <w:rsid w:val="0016138F"/>
    <w:rsid w:val="00166745"/>
    <w:rsid w:val="0017016F"/>
    <w:rsid w:val="00171C84"/>
    <w:rsid w:val="00172059"/>
    <w:rsid w:val="00172121"/>
    <w:rsid w:val="00172B87"/>
    <w:rsid w:val="00177788"/>
    <w:rsid w:val="00181175"/>
    <w:rsid w:val="00181DA9"/>
    <w:rsid w:val="00191389"/>
    <w:rsid w:val="001914EE"/>
    <w:rsid w:val="00193142"/>
    <w:rsid w:val="00196D76"/>
    <w:rsid w:val="001A6BAF"/>
    <w:rsid w:val="001B06F9"/>
    <w:rsid w:val="001C32D6"/>
    <w:rsid w:val="001C4ACA"/>
    <w:rsid w:val="001D25F8"/>
    <w:rsid w:val="001D5B3C"/>
    <w:rsid w:val="001E0E4B"/>
    <w:rsid w:val="001F1009"/>
    <w:rsid w:val="001F322C"/>
    <w:rsid w:val="001F4D82"/>
    <w:rsid w:val="002051EB"/>
    <w:rsid w:val="002114D1"/>
    <w:rsid w:val="002139E5"/>
    <w:rsid w:val="0021540D"/>
    <w:rsid w:val="002258A8"/>
    <w:rsid w:val="00226263"/>
    <w:rsid w:val="00237647"/>
    <w:rsid w:val="00241E2C"/>
    <w:rsid w:val="00242CC4"/>
    <w:rsid w:val="0025267D"/>
    <w:rsid w:val="002646BC"/>
    <w:rsid w:val="00267358"/>
    <w:rsid w:val="00272A4F"/>
    <w:rsid w:val="00273982"/>
    <w:rsid w:val="002749C2"/>
    <w:rsid w:val="00282AAB"/>
    <w:rsid w:val="00287D29"/>
    <w:rsid w:val="00294548"/>
    <w:rsid w:val="002A35C7"/>
    <w:rsid w:val="002A73DA"/>
    <w:rsid w:val="002B3CAA"/>
    <w:rsid w:val="002B512D"/>
    <w:rsid w:val="002C1FF1"/>
    <w:rsid w:val="002C2638"/>
    <w:rsid w:val="002D50B8"/>
    <w:rsid w:val="002E20E6"/>
    <w:rsid w:val="002E2AB7"/>
    <w:rsid w:val="00316B19"/>
    <w:rsid w:val="003308B0"/>
    <w:rsid w:val="003315C4"/>
    <w:rsid w:val="00332677"/>
    <w:rsid w:val="00344C36"/>
    <w:rsid w:val="00351734"/>
    <w:rsid w:val="00363CB8"/>
    <w:rsid w:val="00364EE9"/>
    <w:rsid w:val="00376D43"/>
    <w:rsid w:val="003848B3"/>
    <w:rsid w:val="003900DF"/>
    <w:rsid w:val="00390C81"/>
    <w:rsid w:val="003924A0"/>
    <w:rsid w:val="003A3404"/>
    <w:rsid w:val="003A6058"/>
    <w:rsid w:val="003B615C"/>
    <w:rsid w:val="003C0370"/>
    <w:rsid w:val="003C397C"/>
    <w:rsid w:val="003C4811"/>
    <w:rsid w:val="003D1C9A"/>
    <w:rsid w:val="003E17E3"/>
    <w:rsid w:val="003E78EB"/>
    <w:rsid w:val="003F45B2"/>
    <w:rsid w:val="0040139D"/>
    <w:rsid w:val="00406D44"/>
    <w:rsid w:val="00423A84"/>
    <w:rsid w:val="0042448A"/>
    <w:rsid w:val="00426409"/>
    <w:rsid w:val="00434F0D"/>
    <w:rsid w:val="00444BBD"/>
    <w:rsid w:val="0044544A"/>
    <w:rsid w:val="00455E81"/>
    <w:rsid w:val="00456518"/>
    <w:rsid w:val="004573DA"/>
    <w:rsid w:val="00464243"/>
    <w:rsid w:val="0046689E"/>
    <w:rsid w:val="00470C67"/>
    <w:rsid w:val="00484152"/>
    <w:rsid w:val="004915EF"/>
    <w:rsid w:val="00494799"/>
    <w:rsid w:val="004A4F72"/>
    <w:rsid w:val="004C1D58"/>
    <w:rsid w:val="004E232C"/>
    <w:rsid w:val="004E7EA5"/>
    <w:rsid w:val="004F7FA8"/>
    <w:rsid w:val="00503497"/>
    <w:rsid w:val="00503B5A"/>
    <w:rsid w:val="00504D52"/>
    <w:rsid w:val="00513F8B"/>
    <w:rsid w:val="00514FAB"/>
    <w:rsid w:val="005210B0"/>
    <w:rsid w:val="00526CF2"/>
    <w:rsid w:val="005315C4"/>
    <w:rsid w:val="00531B1A"/>
    <w:rsid w:val="005326F6"/>
    <w:rsid w:val="005350F7"/>
    <w:rsid w:val="00540D33"/>
    <w:rsid w:val="0054466C"/>
    <w:rsid w:val="005529E5"/>
    <w:rsid w:val="00556B05"/>
    <w:rsid w:val="00556D7B"/>
    <w:rsid w:val="00562306"/>
    <w:rsid w:val="00563D89"/>
    <w:rsid w:val="00565681"/>
    <w:rsid w:val="005676FF"/>
    <w:rsid w:val="005709EF"/>
    <w:rsid w:val="00572CBA"/>
    <w:rsid w:val="00576403"/>
    <w:rsid w:val="005776D9"/>
    <w:rsid w:val="005877F6"/>
    <w:rsid w:val="00594BD4"/>
    <w:rsid w:val="005A28F5"/>
    <w:rsid w:val="005A57A7"/>
    <w:rsid w:val="005C754B"/>
    <w:rsid w:val="005E2E32"/>
    <w:rsid w:val="005F120F"/>
    <w:rsid w:val="005F6832"/>
    <w:rsid w:val="006069C4"/>
    <w:rsid w:val="00614FF7"/>
    <w:rsid w:val="00630688"/>
    <w:rsid w:val="0063566D"/>
    <w:rsid w:val="0063604E"/>
    <w:rsid w:val="006408B9"/>
    <w:rsid w:val="00641AF9"/>
    <w:rsid w:val="00645611"/>
    <w:rsid w:val="006463FA"/>
    <w:rsid w:val="00652535"/>
    <w:rsid w:val="00660CEF"/>
    <w:rsid w:val="0067044D"/>
    <w:rsid w:val="0068154D"/>
    <w:rsid w:val="00684AA9"/>
    <w:rsid w:val="00687954"/>
    <w:rsid w:val="00690105"/>
    <w:rsid w:val="006A2679"/>
    <w:rsid w:val="006A786C"/>
    <w:rsid w:val="006B2076"/>
    <w:rsid w:val="006B2FA7"/>
    <w:rsid w:val="006B3567"/>
    <w:rsid w:val="006D3C26"/>
    <w:rsid w:val="006D5256"/>
    <w:rsid w:val="006D731A"/>
    <w:rsid w:val="006D7F3F"/>
    <w:rsid w:val="006E0E20"/>
    <w:rsid w:val="006E68B0"/>
    <w:rsid w:val="006F3F25"/>
    <w:rsid w:val="006F756B"/>
    <w:rsid w:val="00725A3A"/>
    <w:rsid w:val="00752054"/>
    <w:rsid w:val="007535FC"/>
    <w:rsid w:val="00764DDC"/>
    <w:rsid w:val="00767E6C"/>
    <w:rsid w:val="00770F41"/>
    <w:rsid w:val="00772144"/>
    <w:rsid w:val="00775522"/>
    <w:rsid w:val="00786A5A"/>
    <w:rsid w:val="007A2A2A"/>
    <w:rsid w:val="007B39E7"/>
    <w:rsid w:val="007B6DF3"/>
    <w:rsid w:val="007C320D"/>
    <w:rsid w:val="007C5AA1"/>
    <w:rsid w:val="007D574A"/>
    <w:rsid w:val="007D62DA"/>
    <w:rsid w:val="007E3003"/>
    <w:rsid w:val="007E54AE"/>
    <w:rsid w:val="007F0E30"/>
    <w:rsid w:val="007F1663"/>
    <w:rsid w:val="00800BCD"/>
    <w:rsid w:val="0080549D"/>
    <w:rsid w:val="00806037"/>
    <w:rsid w:val="00812B5F"/>
    <w:rsid w:val="00815F70"/>
    <w:rsid w:val="00826FF4"/>
    <w:rsid w:val="00836F9F"/>
    <w:rsid w:val="00841782"/>
    <w:rsid w:val="008530C3"/>
    <w:rsid w:val="008537BB"/>
    <w:rsid w:val="00862AE1"/>
    <w:rsid w:val="00862AF0"/>
    <w:rsid w:val="00883750"/>
    <w:rsid w:val="008937E9"/>
    <w:rsid w:val="008A05EF"/>
    <w:rsid w:val="008B2F0D"/>
    <w:rsid w:val="008B541D"/>
    <w:rsid w:val="008C3604"/>
    <w:rsid w:val="008D1A4A"/>
    <w:rsid w:val="008D37DE"/>
    <w:rsid w:val="008D39C6"/>
    <w:rsid w:val="008E12F6"/>
    <w:rsid w:val="008F0909"/>
    <w:rsid w:val="0090019A"/>
    <w:rsid w:val="00900F0B"/>
    <w:rsid w:val="00904EE9"/>
    <w:rsid w:val="009131BB"/>
    <w:rsid w:val="0091604C"/>
    <w:rsid w:val="009236A2"/>
    <w:rsid w:val="0093405E"/>
    <w:rsid w:val="00954350"/>
    <w:rsid w:val="0095766B"/>
    <w:rsid w:val="00962988"/>
    <w:rsid w:val="009803B5"/>
    <w:rsid w:val="00980F9B"/>
    <w:rsid w:val="0098280A"/>
    <w:rsid w:val="00985305"/>
    <w:rsid w:val="00985BB4"/>
    <w:rsid w:val="00993B54"/>
    <w:rsid w:val="00994030"/>
    <w:rsid w:val="009A0824"/>
    <w:rsid w:val="009A24AC"/>
    <w:rsid w:val="009E48F3"/>
    <w:rsid w:val="009E5482"/>
    <w:rsid w:val="009F4BC0"/>
    <w:rsid w:val="009F5AAD"/>
    <w:rsid w:val="00A02BBA"/>
    <w:rsid w:val="00A1487D"/>
    <w:rsid w:val="00A14F20"/>
    <w:rsid w:val="00A15B19"/>
    <w:rsid w:val="00A33424"/>
    <w:rsid w:val="00A37787"/>
    <w:rsid w:val="00A40EF4"/>
    <w:rsid w:val="00A4257C"/>
    <w:rsid w:val="00A442EA"/>
    <w:rsid w:val="00A44BAB"/>
    <w:rsid w:val="00A46573"/>
    <w:rsid w:val="00A53C8F"/>
    <w:rsid w:val="00A5705E"/>
    <w:rsid w:val="00A63589"/>
    <w:rsid w:val="00A63C36"/>
    <w:rsid w:val="00A83BC4"/>
    <w:rsid w:val="00A85B8D"/>
    <w:rsid w:val="00A95C32"/>
    <w:rsid w:val="00A96735"/>
    <w:rsid w:val="00AA0F6E"/>
    <w:rsid w:val="00AA35DA"/>
    <w:rsid w:val="00AA5DA7"/>
    <w:rsid w:val="00AB32C0"/>
    <w:rsid w:val="00AB5038"/>
    <w:rsid w:val="00AB6E58"/>
    <w:rsid w:val="00AB79BD"/>
    <w:rsid w:val="00AB7C6D"/>
    <w:rsid w:val="00AC1309"/>
    <w:rsid w:val="00AC29AB"/>
    <w:rsid w:val="00AC5A96"/>
    <w:rsid w:val="00AE2204"/>
    <w:rsid w:val="00AF4DE0"/>
    <w:rsid w:val="00AF76DA"/>
    <w:rsid w:val="00B010C4"/>
    <w:rsid w:val="00B02B47"/>
    <w:rsid w:val="00B06F51"/>
    <w:rsid w:val="00B22B26"/>
    <w:rsid w:val="00B22EEE"/>
    <w:rsid w:val="00B24282"/>
    <w:rsid w:val="00B3791D"/>
    <w:rsid w:val="00B42FC3"/>
    <w:rsid w:val="00B51AF9"/>
    <w:rsid w:val="00B61C91"/>
    <w:rsid w:val="00B66D02"/>
    <w:rsid w:val="00B803B6"/>
    <w:rsid w:val="00B826C1"/>
    <w:rsid w:val="00B85543"/>
    <w:rsid w:val="00B87A6C"/>
    <w:rsid w:val="00B90C45"/>
    <w:rsid w:val="00BA2415"/>
    <w:rsid w:val="00BA3F6A"/>
    <w:rsid w:val="00BA6418"/>
    <w:rsid w:val="00BB1CB9"/>
    <w:rsid w:val="00BB2B0E"/>
    <w:rsid w:val="00BC1802"/>
    <w:rsid w:val="00BC6E39"/>
    <w:rsid w:val="00BD573A"/>
    <w:rsid w:val="00BE0286"/>
    <w:rsid w:val="00BE0CCC"/>
    <w:rsid w:val="00BE5299"/>
    <w:rsid w:val="00BF335D"/>
    <w:rsid w:val="00BF4B9E"/>
    <w:rsid w:val="00C042CC"/>
    <w:rsid w:val="00C04489"/>
    <w:rsid w:val="00C07C0D"/>
    <w:rsid w:val="00C2344D"/>
    <w:rsid w:val="00C2664B"/>
    <w:rsid w:val="00C2694D"/>
    <w:rsid w:val="00C46EE4"/>
    <w:rsid w:val="00C5313F"/>
    <w:rsid w:val="00C54B21"/>
    <w:rsid w:val="00C54EC0"/>
    <w:rsid w:val="00C60549"/>
    <w:rsid w:val="00C8284A"/>
    <w:rsid w:val="00C84A2D"/>
    <w:rsid w:val="00C9553F"/>
    <w:rsid w:val="00CB54CF"/>
    <w:rsid w:val="00CC265E"/>
    <w:rsid w:val="00CD6829"/>
    <w:rsid w:val="00CD79DD"/>
    <w:rsid w:val="00CF586F"/>
    <w:rsid w:val="00D0063A"/>
    <w:rsid w:val="00D075CA"/>
    <w:rsid w:val="00D23B09"/>
    <w:rsid w:val="00D23D91"/>
    <w:rsid w:val="00D27354"/>
    <w:rsid w:val="00D366FC"/>
    <w:rsid w:val="00D41119"/>
    <w:rsid w:val="00D4188F"/>
    <w:rsid w:val="00D441D6"/>
    <w:rsid w:val="00D456E9"/>
    <w:rsid w:val="00D4579E"/>
    <w:rsid w:val="00D46027"/>
    <w:rsid w:val="00D46533"/>
    <w:rsid w:val="00D510A9"/>
    <w:rsid w:val="00D5167A"/>
    <w:rsid w:val="00D54F6F"/>
    <w:rsid w:val="00D63984"/>
    <w:rsid w:val="00D85179"/>
    <w:rsid w:val="00D85F48"/>
    <w:rsid w:val="00DB2D4C"/>
    <w:rsid w:val="00DB6755"/>
    <w:rsid w:val="00DB79E2"/>
    <w:rsid w:val="00DC0F99"/>
    <w:rsid w:val="00DC3563"/>
    <w:rsid w:val="00DC60A2"/>
    <w:rsid w:val="00DD26EF"/>
    <w:rsid w:val="00DD2F88"/>
    <w:rsid w:val="00DF40C9"/>
    <w:rsid w:val="00E0122B"/>
    <w:rsid w:val="00E021EE"/>
    <w:rsid w:val="00E02F5E"/>
    <w:rsid w:val="00E04BF6"/>
    <w:rsid w:val="00E06617"/>
    <w:rsid w:val="00E06AD6"/>
    <w:rsid w:val="00E217F7"/>
    <w:rsid w:val="00E21C1F"/>
    <w:rsid w:val="00E23ADF"/>
    <w:rsid w:val="00E358B7"/>
    <w:rsid w:val="00E42A88"/>
    <w:rsid w:val="00E51FB2"/>
    <w:rsid w:val="00E53385"/>
    <w:rsid w:val="00E5571C"/>
    <w:rsid w:val="00E601DE"/>
    <w:rsid w:val="00E6039A"/>
    <w:rsid w:val="00E65352"/>
    <w:rsid w:val="00E65671"/>
    <w:rsid w:val="00E842FE"/>
    <w:rsid w:val="00E9259E"/>
    <w:rsid w:val="00E96C20"/>
    <w:rsid w:val="00EA21DB"/>
    <w:rsid w:val="00EB1EC2"/>
    <w:rsid w:val="00EB4CF4"/>
    <w:rsid w:val="00EC0559"/>
    <w:rsid w:val="00EC6BDF"/>
    <w:rsid w:val="00ED77C1"/>
    <w:rsid w:val="00EF048B"/>
    <w:rsid w:val="00EF60AC"/>
    <w:rsid w:val="00F103BF"/>
    <w:rsid w:val="00F12E47"/>
    <w:rsid w:val="00F23723"/>
    <w:rsid w:val="00F31221"/>
    <w:rsid w:val="00F379D7"/>
    <w:rsid w:val="00F410C9"/>
    <w:rsid w:val="00F41B77"/>
    <w:rsid w:val="00F443AC"/>
    <w:rsid w:val="00F45938"/>
    <w:rsid w:val="00F5009C"/>
    <w:rsid w:val="00F51639"/>
    <w:rsid w:val="00F5485F"/>
    <w:rsid w:val="00F57E07"/>
    <w:rsid w:val="00F622D7"/>
    <w:rsid w:val="00F663ED"/>
    <w:rsid w:val="00F700FC"/>
    <w:rsid w:val="00F724A9"/>
    <w:rsid w:val="00F7299B"/>
    <w:rsid w:val="00F758D2"/>
    <w:rsid w:val="00F904A9"/>
    <w:rsid w:val="00FA1596"/>
    <w:rsid w:val="00FA39DF"/>
    <w:rsid w:val="00FB35F8"/>
    <w:rsid w:val="00FC7D01"/>
    <w:rsid w:val="00FD4291"/>
    <w:rsid w:val="00FD42FA"/>
    <w:rsid w:val="00FE3500"/>
    <w:rsid w:val="00FE6E22"/>
    <w:rsid w:val="00FF1E9C"/>
    <w:rsid w:val="00FF3465"/>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CE8BF5"/>
  <w15:chartTrackingRefBased/>
  <w15:docId w15:val="{A11421C0-3131-4465-B7F9-C3371431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1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F5E"/>
    <w:rPr>
      <w:rFonts w:ascii="Franklin Gothic Book" w:eastAsia="Times New Roman" w:hAnsi="Franklin Gothic Book" w:cs="Times New Roman"/>
      <w:color w:val="4A4D56" w:themeColor="text1"/>
      <w:lang w:val="en-US"/>
    </w:rPr>
  </w:style>
  <w:style w:type="paragraph" w:styleId="Heading1">
    <w:name w:val="heading 1"/>
    <w:next w:val="Normal"/>
    <w:uiPriority w:val="9"/>
    <w:qFormat/>
    <w:rsid w:val="00690105"/>
    <w:pPr>
      <w:keepNext/>
      <w:keepLines/>
      <w:suppressAutoHyphens/>
      <w:spacing w:before="300" w:after="240" w:line="240" w:lineRule="auto"/>
      <w:outlineLvl w:val="0"/>
    </w:pPr>
    <w:rPr>
      <w:rFonts w:ascii="Rift Soft Medium" w:eastAsia="Times New Roman" w:hAnsi="Rift Soft Medium" w:cs="Times New Roman"/>
      <w:color w:val="053572"/>
      <w:sz w:val="44"/>
      <w:szCs w:val="24"/>
      <w:lang w:val="en-US"/>
    </w:rPr>
  </w:style>
  <w:style w:type="paragraph" w:styleId="Heading2">
    <w:name w:val="heading 2"/>
    <w:basedOn w:val="Heading1"/>
    <w:next w:val="Normal"/>
    <w:uiPriority w:val="9"/>
    <w:qFormat/>
    <w:rsid w:val="00BA2415"/>
    <w:pPr>
      <w:numPr>
        <w:ilvl w:val="1"/>
      </w:numPr>
      <w:outlineLvl w:val="1"/>
    </w:pPr>
    <w:rPr>
      <w:color w:val="416DCB" w:themeColor="accent1" w:themeTint="99"/>
      <w:sz w:val="40"/>
    </w:rPr>
  </w:style>
  <w:style w:type="paragraph" w:styleId="Heading3">
    <w:name w:val="heading 3"/>
    <w:basedOn w:val="Heading1"/>
    <w:next w:val="Normal"/>
    <w:uiPriority w:val="9"/>
    <w:qFormat/>
    <w:rsid w:val="006463FA"/>
    <w:pPr>
      <w:numPr>
        <w:ilvl w:val="2"/>
      </w:numPr>
      <w:outlineLvl w:val="2"/>
    </w:pPr>
    <w:rPr>
      <w:color w:val="1FA9E1" w:themeColor="accent3"/>
      <w:sz w:val="36"/>
    </w:rPr>
  </w:style>
  <w:style w:type="paragraph" w:styleId="Heading4">
    <w:name w:val="heading 4"/>
    <w:basedOn w:val="Normal"/>
    <w:uiPriority w:val="9"/>
    <w:qFormat/>
    <w:rsid w:val="006463FA"/>
    <w:pPr>
      <w:spacing w:before="240" w:after="180"/>
      <w:outlineLvl w:val="3"/>
    </w:pPr>
    <w:rPr>
      <w:rFonts w:ascii="Rift Soft Medium" w:hAnsi="Rift Soft Medium" w:cs="Arial"/>
      <w:bCs/>
      <w:color w:val="053572" w:themeColor="text2"/>
      <w:sz w:val="32"/>
      <w:szCs w:val="24"/>
    </w:rPr>
  </w:style>
  <w:style w:type="paragraph" w:styleId="Heading5">
    <w:name w:val="heading 5"/>
    <w:basedOn w:val="Heading4"/>
    <w:uiPriority w:val="9"/>
    <w:rsid w:val="00BA2415"/>
    <w:pPr>
      <w:spacing w:after="160"/>
      <w:outlineLvl w:val="4"/>
    </w:pPr>
    <w:rPr>
      <w:iCs/>
      <w:color w:val="416DCB" w:themeColor="accent1" w:themeTint="99"/>
      <w:szCs w:val="22"/>
    </w:rPr>
  </w:style>
  <w:style w:type="paragraph" w:styleId="Heading6">
    <w:name w:val="heading 6"/>
    <w:uiPriority w:val="9"/>
    <w:rsid w:val="00444BBD"/>
    <w:pPr>
      <w:spacing w:after="120"/>
      <w:outlineLvl w:val="5"/>
    </w:pPr>
    <w:rPr>
      <w:rFonts w:ascii="Rift Soft Medium" w:eastAsia="Times New Roman" w:hAnsi="Rift Soft Medium" w:cs="Arial"/>
      <w:bCs/>
      <w:iCs/>
      <w:color w:val="1FA9E1" w:themeColor="accent3"/>
      <w:sz w:val="32"/>
      <w:szCs w:val="21"/>
      <w:lang w:val="en-US"/>
    </w:rPr>
  </w:style>
  <w:style w:type="paragraph" w:styleId="Heading7">
    <w:name w:val="heading 7"/>
    <w:basedOn w:val="Heading6"/>
    <w:next w:val="Normal"/>
    <w:uiPriority w:val="2"/>
    <w:rsid w:val="006463FA"/>
    <w:pPr>
      <w:outlineLvl w:val="6"/>
    </w:pPr>
    <w:rPr>
      <w:rFonts w:asciiTheme="majorHAnsi" w:hAnsiTheme="majorHAnsi"/>
      <w:bCs w:val="0"/>
      <w:color w:val="053572" w:themeColor="text2"/>
      <w:sz w:val="28"/>
      <w:szCs w:val="28"/>
    </w:rPr>
  </w:style>
  <w:style w:type="paragraph" w:styleId="Heading8">
    <w:name w:val="heading 8"/>
    <w:basedOn w:val="Normal"/>
    <w:next w:val="Normal"/>
    <w:uiPriority w:val="2"/>
    <w:rsid w:val="00BA2415"/>
    <w:pPr>
      <w:outlineLvl w:val="7"/>
    </w:pPr>
    <w:rPr>
      <w:rFonts w:asciiTheme="majorHAnsi" w:hAnsiTheme="majorHAnsi"/>
      <w:color w:val="416DCB" w:themeColor="accent1" w:themeTint="99"/>
      <w:sz w:val="24"/>
      <w:szCs w:val="24"/>
    </w:rPr>
  </w:style>
  <w:style w:type="paragraph" w:styleId="Heading9">
    <w:name w:val="heading 9"/>
    <w:basedOn w:val="Heading8"/>
    <w:next w:val="Normal"/>
    <w:uiPriority w:val="2"/>
    <w:rsid w:val="00454842"/>
    <w:pPr>
      <w:outlineLvl w:val="8"/>
    </w:pPr>
    <w:rPr>
      <w:color w:val="6B9BDE" w:themeColor="accent2" w:themeTint="99"/>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next w:val="Normal"/>
    <w:uiPriority w:val="99"/>
    <w:semiHidden/>
    <w:rsid w:val="003C4811"/>
    <w:pPr>
      <w:tabs>
        <w:tab w:val="right" w:leader="dot" w:pos="10070"/>
      </w:tabs>
      <w:spacing w:before="120" w:after="120"/>
      <w:ind w:right="-4"/>
    </w:pPr>
    <w:rPr>
      <w:rFonts w:ascii="Rift Soft" w:eastAsia="Times New Roman" w:hAnsi="Rift Soft" w:cs="Times New Roman"/>
      <w:color w:val="053572"/>
      <w:sz w:val="48"/>
      <w:szCs w:val="48"/>
      <w:lang w:val="en-US"/>
    </w:rPr>
  </w:style>
  <w:style w:type="character" w:styleId="Strong">
    <w:name w:val="Strong"/>
    <w:aliases w:val="Resume Style 1"/>
    <w:uiPriority w:val="22"/>
    <w:semiHidden/>
    <w:qFormat/>
    <w:rsid w:val="006463FA"/>
    <w:rPr>
      <w:rFonts w:ascii="Franklin Gothic Medium" w:hAnsi="Franklin Gothic Medium"/>
      <w:color w:val="053572" w:themeColor="text2"/>
      <w:sz w:val="24"/>
    </w:rPr>
  </w:style>
  <w:style w:type="paragraph" w:styleId="BalloonText">
    <w:name w:val="Balloon Text"/>
    <w:basedOn w:val="Normal"/>
    <w:semiHidden/>
    <w:rsid w:val="00B51ADD"/>
    <w:rPr>
      <w:rFonts w:ascii="Tahoma" w:hAnsi="Tahoma" w:cs="Tahoma"/>
      <w:sz w:val="16"/>
      <w:szCs w:val="16"/>
    </w:rPr>
  </w:style>
  <w:style w:type="paragraph" w:customStyle="1" w:styleId="Bullet1">
    <w:name w:val="Bullet 1"/>
    <w:basedOn w:val="Normal"/>
    <w:next w:val="Normal"/>
    <w:uiPriority w:val="99"/>
    <w:semiHidden/>
    <w:qFormat/>
    <w:rsid w:val="00F54AE8"/>
    <w:pPr>
      <w:numPr>
        <w:numId w:val="1"/>
      </w:numPr>
      <w:tabs>
        <w:tab w:val="num" w:pos="360"/>
      </w:tabs>
      <w:spacing w:after="120"/>
      <w:ind w:left="0" w:firstLine="0"/>
    </w:pPr>
  </w:style>
  <w:style w:type="paragraph" w:customStyle="1" w:styleId="Bullet2">
    <w:name w:val="Bullet 2"/>
    <w:basedOn w:val="Normal"/>
    <w:next w:val="Normal"/>
    <w:uiPriority w:val="99"/>
    <w:semiHidden/>
    <w:qFormat/>
    <w:rsid w:val="00F54AE8"/>
    <w:pPr>
      <w:numPr>
        <w:ilvl w:val="1"/>
        <w:numId w:val="2"/>
      </w:numPr>
      <w:tabs>
        <w:tab w:val="num" w:pos="360"/>
      </w:tabs>
      <w:spacing w:after="120"/>
      <w:ind w:left="0" w:firstLine="0"/>
    </w:pPr>
  </w:style>
  <w:style w:type="paragraph" w:customStyle="1" w:styleId="Bullet3">
    <w:name w:val="Bullet 3"/>
    <w:basedOn w:val="Normal"/>
    <w:next w:val="Normal"/>
    <w:uiPriority w:val="99"/>
    <w:semiHidden/>
    <w:qFormat/>
    <w:rsid w:val="00F54AE8"/>
    <w:pPr>
      <w:numPr>
        <w:ilvl w:val="2"/>
        <w:numId w:val="3"/>
      </w:numPr>
      <w:spacing w:after="120"/>
    </w:pPr>
  </w:style>
  <w:style w:type="paragraph" w:customStyle="1" w:styleId="CaptionFigure">
    <w:name w:val="Caption Figure"/>
    <w:uiPriority w:val="99"/>
    <w:semiHidden/>
    <w:qFormat/>
    <w:locked/>
    <w:rsid w:val="000C2EF9"/>
    <w:pPr>
      <w:keepNext/>
      <w:numPr>
        <w:numId w:val="4"/>
      </w:numPr>
      <w:spacing w:before="200" w:after="80" w:line="240" w:lineRule="auto"/>
      <w:jc w:val="center"/>
    </w:pPr>
    <w:rPr>
      <w:rFonts w:eastAsia="Times New Roman" w:cs="Times New Roman"/>
      <w:bCs/>
      <w:color w:val="4A4D56" w:themeColor="text1"/>
      <w:szCs w:val="20"/>
      <w:lang w:val="en-US"/>
    </w:rPr>
  </w:style>
  <w:style w:type="paragraph" w:customStyle="1" w:styleId="CaptionTable">
    <w:name w:val="Caption Table"/>
    <w:uiPriority w:val="99"/>
    <w:semiHidden/>
    <w:qFormat/>
    <w:locked/>
    <w:rsid w:val="000C2EF9"/>
    <w:pPr>
      <w:keepNext/>
      <w:numPr>
        <w:numId w:val="5"/>
      </w:numPr>
      <w:spacing w:before="200" w:after="80" w:line="240" w:lineRule="auto"/>
      <w:jc w:val="center"/>
    </w:pPr>
    <w:rPr>
      <w:rFonts w:eastAsia="Times New Roman" w:cs="Times New Roman"/>
      <w:bCs/>
      <w:color w:val="4A4D56" w:themeColor="text1"/>
      <w:szCs w:val="20"/>
      <w:lang w:val="en-US"/>
    </w:rPr>
  </w:style>
  <w:style w:type="paragraph" w:customStyle="1" w:styleId="CenterTableText">
    <w:name w:val="Center Table Text"/>
    <w:uiPriority w:val="14"/>
    <w:semiHidden/>
    <w:rsid w:val="00BD0DC6"/>
    <w:pPr>
      <w:spacing w:after="0" w:line="240" w:lineRule="auto"/>
      <w:jc w:val="center"/>
    </w:pPr>
    <w:rPr>
      <w:rFonts w:ascii="Franklin Gothic Book" w:eastAsia="Times New Roman" w:hAnsi="Franklin Gothic Book" w:cs="Times New Roman"/>
      <w:sz w:val="20"/>
      <w:lang w:val="en-US"/>
    </w:rPr>
  </w:style>
  <w:style w:type="paragraph" w:customStyle="1" w:styleId="TOC3Style">
    <w:name w:val="TOC 3 Style"/>
    <w:semiHidden/>
    <w:rsid w:val="001C4ACA"/>
    <w:pPr>
      <w:tabs>
        <w:tab w:val="right" w:leader="dot" w:pos="9360"/>
      </w:tabs>
      <w:spacing w:before="100"/>
      <w:ind w:left="1584" w:right="-4" w:hanging="648"/>
    </w:pPr>
    <w:rPr>
      <w:rFonts w:ascii="Franklin Gothic Book" w:eastAsia="Times New Roman" w:hAnsi="Franklin Gothic Book" w:cs="Times New Roman"/>
      <w:color w:val="4A4D56" w:themeColor="text1"/>
      <w:szCs w:val="20"/>
      <w:lang w:val="en-US"/>
    </w:rPr>
  </w:style>
  <w:style w:type="paragraph" w:styleId="CommentSubject">
    <w:name w:val="annotation subject"/>
    <w:semiHidden/>
    <w:rsid w:val="00B51ADD"/>
    <w:pPr>
      <w:spacing w:before="200" w:line="240" w:lineRule="auto"/>
      <w:jc w:val="both"/>
    </w:pPr>
    <w:rPr>
      <w:rFonts w:ascii="Franklin Gothic Book" w:eastAsia="Times New Roman" w:hAnsi="Franklin Gothic Book" w:cs="Times New Roman"/>
      <w:b/>
      <w:bCs/>
      <w:sz w:val="20"/>
      <w:szCs w:val="20"/>
      <w:lang w:val="en-US"/>
    </w:rPr>
  </w:style>
  <w:style w:type="paragraph" w:styleId="CommentText">
    <w:name w:val="annotation text"/>
    <w:basedOn w:val="Normal"/>
    <w:uiPriority w:val="99"/>
    <w:semiHidden/>
    <w:rsid w:val="00B51ADD"/>
    <w:rPr>
      <w:sz w:val="20"/>
      <w:szCs w:val="20"/>
    </w:rPr>
  </w:style>
  <w:style w:type="character" w:styleId="Emphasis">
    <w:name w:val="Emphasis"/>
    <w:basedOn w:val="DefaultParagraphFont"/>
    <w:uiPriority w:val="4"/>
    <w:qFormat/>
    <w:rsid w:val="00B51ADD"/>
    <w:rPr>
      <w:i/>
      <w:iCs/>
    </w:rPr>
  </w:style>
  <w:style w:type="paragraph" w:customStyle="1" w:styleId="Tablecontents">
    <w:name w:val="Table contents"/>
    <w:basedOn w:val="Normal"/>
    <w:rsid w:val="006E68B0"/>
    <w:pPr>
      <w:spacing w:after="0" w:line="240" w:lineRule="auto"/>
      <w:jc w:val="center"/>
    </w:pPr>
    <w:rPr>
      <w:rFonts w:ascii="Franklin Gothic Medium" w:hAnsi="Franklin Gothic Medium"/>
      <w:sz w:val="18"/>
      <w:szCs w:val="20"/>
    </w:rPr>
  </w:style>
  <w:style w:type="paragraph" w:styleId="EndnoteText">
    <w:name w:val="endnote text"/>
    <w:basedOn w:val="Normal"/>
    <w:uiPriority w:val="69"/>
    <w:rsid w:val="002A6F47"/>
    <w:pPr>
      <w:spacing w:after="0"/>
    </w:pPr>
    <w:rPr>
      <w:sz w:val="18"/>
      <w:szCs w:val="20"/>
    </w:rPr>
  </w:style>
  <w:style w:type="paragraph" w:customStyle="1" w:styleId="FigureCaption">
    <w:name w:val="Figure_Caption"/>
    <w:basedOn w:val="Normal"/>
    <w:next w:val="Normal"/>
    <w:uiPriority w:val="3"/>
    <w:semiHidden/>
    <w:qFormat/>
    <w:locked/>
    <w:rsid w:val="00B51ADD"/>
    <w:pPr>
      <w:keepNext/>
      <w:keepLines/>
      <w:suppressAutoHyphens/>
      <w:spacing w:before="320" w:after="120"/>
      <w:jc w:val="center"/>
    </w:pPr>
    <w:rPr>
      <w:b/>
    </w:rPr>
  </w:style>
  <w:style w:type="character" w:styleId="FollowedHyperlink">
    <w:name w:val="FollowedHyperlink"/>
    <w:basedOn w:val="DefaultParagraphFont"/>
    <w:uiPriority w:val="69"/>
    <w:rsid w:val="001C4ACA"/>
    <w:rPr>
      <w:rFonts w:asciiTheme="minorHAnsi" w:hAnsiTheme="minorHAnsi"/>
      <w:color w:val="5661AC" w:themeColor="accent5"/>
      <w:sz w:val="22"/>
      <w:u w:val="single"/>
    </w:rPr>
  </w:style>
  <w:style w:type="character" w:styleId="FootnoteReference">
    <w:name w:val="footnote reference"/>
    <w:basedOn w:val="DefaultParagraphFont"/>
    <w:uiPriority w:val="69"/>
    <w:rsid w:val="00B51ADD"/>
    <w:rPr>
      <w:vertAlign w:val="superscript"/>
    </w:rPr>
  </w:style>
  <w:style w:type="paragraph" w:styleId="FootnoteText">
    <w:name w:val="footnote text"/>
    <w:basedOn w:val="Normal"/>
    <w:uiPriority w:val="69"/>
    <w:rsid w:val="002A6F47"/>
    <w:pPr>
      <w:spacing w:after="0"/>
    </w:pPr>
    <w:rPr>
      <w:sz w:val="18"/>
      <w:szCs w:val="20"/>
    </w:rPr>
  </w:style>
  <w:style w:type="paragraph" w:customStyle="1" w:styleId="GraphFootnote">
    <w:name w:val="Graph Footnote"/>
    <w:basedOn w:val="Normal"/>
    <w:next w:val="Normal"/>
    <w:uiPriority w:val="99"/>
    <w:semiHidden/>
    <w:locked/>
    <w:rsid w:val="00B51ADD"/>
    <w:pPr>
      <w:spacing w:after="0"/>
    </w:pPr>
    <w:rPr>
      <w:rFonts w:ascii="Times New Roman" w:hAnsi="Times New Roman"/>
      <w:i/>
      <w:sz w:val="18"/>
    </w:rPr>
  </w:style>
  <w:style w:type="table" w:styleId="GridTable1Light-Accent1">
    <w:name w:val="Grid Table 1 Light Accent 1"/>
    <w:basedOn w:val="TableNormal"/>
    <w:uiPriority w:val="46"/>
    <w:locked/>
    <w:rsid w:val="00D721EA"/>
    <w:pPr>
      <w:spacing w:before="200" w:after="0" w:line="240" w:lineRule="auto"/>
    </w:pPr>
    <w:rPr>
      <w:rFonts w:ascii="Franklin Gothic Book" w:eastAsia="Times New Roman" w:hAnsi="Franklin Gothic Book" w:cs="Times New Roman"/>
      <w:lang w:val="en-US"/>
    </w:rPr>
    <w:tblPr>
      <w:tblStyleRowBandSize w:val="1"/>
      <w:tblStyleColBandSize w:val="1"/>
      <w:tblBorders>
        <w:top w:val="single" w:sz="4" w:space="0" w:color="809EDC" w:themeColor="accent1" w:themeTint="66"/>
        <w:left w:val="single" w:sz="4" w:space="0" w:color="809EDC" w:themeColor="accent1" w:themeTint="66"/>
        <w:bottom w:val="single" w:sz="4" w:space="0" w:color="809EDC" w:themeColor="accent1" w:themeTint="66"/>
        <w:right w:val="single" w:sz="4" w:space="0" w:color="809EDC" w:themeColor="accent1" w:themeTint="66"/>
        <w:insideH w:val="single" w:sz="4" w:space="0" w:color="809EDC" w:themeColor="accent1" w:themeTint="66"/>
        <w:insideV w:val="single" w:sz="4" w:space="0" w:color="809EDC" w:themeColor="accent1" w:themeTint="66"/>
      </w:tblBorders>
    </w:tblPr>
    <w:tblStylePr w:type="firstRow">
      <w:rPr>
        <w:b/>
        <w:bCs/>
      </w:rPr>
      <w:tblPr/>
      <w:tcPr>
        <w:tcBorders>
          <w:bottom w:val="single" w:sz="12" w:space="0" w:color="416DCB" w:themeColor="accent1" w:themeTint="99"/>
        </w:tcBorders>
      </w:tcPr>
    </w:tblStylePr>
    <w:tblStylePr w:type="lastRow">
      <w:rPr>
        <w:b/>
        <w:bCs/>
      </w:rPr>
      <w:tblPr/>
      <w:tcPr>
        <w:tcBorders>
          <w:top w:val="double" w:sz="2" w:space="0" w:color="416DCB" w:themeColor="accent1" w:themeTint="99"/>
        </w:tcBorders>
      </w:tcPr>
    </w:tblStylePr>
    <w:tblStylePr w:type="firstCol">
      <w:rPr>
        <w:b/>
        <w:bCs/>
      </w:rPr>
    </w:tblStylePr>
    <w:tblStylePr w:type="lastCol">
      <w:rPr>
        <w:b/>
        <w:bCs/>
      </w:rPr>
    </w:tblStylePr>
  </w:style>
  <w:style w:type="paragraph" w:customStyle="1" w:styleId="Headernone">
    <w:name w:val="Header_none"/>
    <w:uiPriority w:val="1"/>
    <w:semiHidden/>
    <w:locked/>
    <w:rsid w:val="00B51ADD"/>
    <w:pPr>
      <w:tabs>
        <w:tab w:val="right" w:pos="9360"/>
      </w:tabs>
      <w:spacing w:before="200" w:line="240" w:lineRule="auto"/>
      <w:jc w:val="both"/>
    </w:pPr>
    <w:rPr>
      <w:rFonts w:ascii="Franklin Gothic Book" w:eastAsia="Times New Roman" w:hAnsi="Franklin Gothic Book" w:cs="Times New Roman"/>
      <w:i/>
      <w:noProof/>
      <w:sz w:val="16"/>
      <w:szCs w:val="16"/>
      <w:lang w:val="en-US"/>
    </w:rPr>
  </w:style>
  <w:style w:type="character" w:styleId="Hyperlink">
    <w:name w:val="Hyperlink"/>
    <w:basedOn w:val="DefaultParagraphFont"/>
    <w:uiPriority w:val="99"/>
    <w:rsid w:val="001C4ACA"/>
    <w:rPr>
      <w:rFonts w:asciiTheme="minorHAnsi" w:hAnsiTheme="minorHAnsi"/>
      <w:noProof/>
      <w:color w:val="5661AC" w:themeColor="accent5"/>
      <w:sz w:val="22"/>
      <w:u w:val="single"/>
    </w:rPr>
  </w:style>
  <w:style w:type="paragraph" w:styleId="Index1">
    <w:name w:val="index 1"/>
    <w:basedOn w:val="Normal"/>
    <w:next w:val="Normal"/>
    <w:autoRedefine/>
    <w:semiHidden/>
    <w:rsid w:val="00B51ADD"/>
    <w:pPr>
      <w:ind w:left="240" w:hanging="240"/>
    </w:pPr>
  </w:style>
  <w:style w:type="character" w:styleId="IntenseEmphasis">
    <w:name w:val="Intense Emphasis"/>
    <w:aliases w:val="Emphasis (Intense)"/>
    <w:basedOn w:val="DefaultParagraphFont"/>
    <w:uiPriority w:val="4"/>
    <w:rsid w:val="005529E5"/>
    <w:rPr>
      <w:rFonts w:ascii="Franklin Gothic Demi" w:hAnsi="Franklin Gothic Demi"/>
      <w:b w:val="0"/>
      <w:i w:val="0"/>
      <w:iCs/>
      <w:color w:val="4A4D56" w:themeColor="text1"/>
      <w:sz w:val="22"/>
    </w:rPr>
  </w:style>
  <w:style w:type="paragraph" w:styleId="ListBullet">
    <w:name w:val="List Bullet"/>
    <w:basedOn w:val="Normal"/>
    <w:uiPriority w:val="9"/>
    <w:qFormat/>
    <w:rsid w:val="002E20E6"/>
    <w:pPr>
      <w:numPr>
        <w:numId w:val="14"/>
      </w:numPr>
      <w:spacing w:before="120" w:after="120"/>
      <w:ind w:left="465" w:hanging="285"/>
    </w:pPr>
  </w:style>
  <w:style w:type="paragraph" w:styleId="ListBullet2">
    <w:name w:val="List Bullet 2"/>
    <w:uiPriority w:val="9"/>
    <w:qFormat/>
    <w:rsid w:val="001C32D6"/>
    <w:pPr>
      <w:numPr>
        <w:ilvl w:val="1"/>
        <w:numId w:val="14"/>
      </w:numPr>
      <w:spacing w:before="120" w:after="120"/>
      <w:ind w:left="735" w:hanging="285"/>
    </w:pPr>
    <w:rPr>
      <w:rFonts w:ascii="Franklin Gothic Book" w:eastAsia="Times New Roman" w:hAnsi="Franklin Gothic Book" w:cs="Times New Roman"/>
      <w:color w:val="4A4D56" w:themeColor="text1"/>
      <w:lang w:val="en-US"/>
    </w:rPr>
  </w:style>
  <w:style w:type="paragraph" w:styleId="ListBullet3">
    <w:name w:val="List Bullet 3"/>
    <w:uiPriority w:val="9"/>
    <w:qFormat/>
    <w:rsid w:val="001C32D6"/>
    <w:pPr>
      <w:numPr>
        <w:ilvl w:val="2"/>
        <w:numId w:val="14"/>
      </w:numPr>
      <w:spacing w:before="120" w:after="120"/>
      <w:ind w:left="1035" w:hanging="285"/>
    </w:pPr>
    <w:rPr>
      <w:rFonts w:ascii="Franklin Gothic Book" w:eastAsia="Times New Roman" w:hAnsi="Franklin Gothic Book" w:cs="Times New Roman"/>
      <w:color w:val="4A4D56" w:themeColor="text1"/>
      <w:lang w:val="en-US"/>
    </w:rPr>
  </w:style>
  <w:style w:type="paragraph" w:styleId="ListNumber">
    <w:name w:val="List Number"/>
    <w:basedOn w:val="Normal"/>
    <w:uiPriority w:val="99"/>
    <w:semiHidden/>
    <w:rsid w:val="00351E32"/>
    <w:pPr>
      <w:numPr>
        <w:numId w:val="7"/>
      </w:numPr>
      <w:spacing w:after="120"/>
    </w:pPr>
  </w:style>
  <w:style w:type="paragraph" w:styleId="ListNumber2">
    <w:name w:val="List Number 2"/>
    <w:basedOn w:val="Normal"/>
    <w:uiPriority w:val="99"/>
    <w:semiHidden/>
    <w:rsid w:val="00351E32"/>
    <w:pPr>
      <w:numPr>
        <w:numId w:val="8"/>
      </w:numPr>
      <w:spacing w:after="120"/>
    </w:pPr>
  </w:style>
  <w:style w:type="paragraph" w:styleId="ListNumber3">
    <w:name w:val="List Number 3"/>
    <w:basedOn w:val="Normal"/>
    <w:uiPriority w:val="99"/>
    <w:semiHidden/>
    <w:rsid w:val="004D778A"/>
    <w:pPr>
      <w:numPr>
        <w:numId w:val="9"/>
      </w:numPr>
      <w:contextualSpacing/>
    </w:pPr>
  </w:style>
  <w:style w:type="paragraph" w:customStyle="1" w:styleId="ListNumber1">
    <w:name w:val="List Number1"/>
    <w:basedOn w:val="Normal"/>
    <w:uiPriority w:val="99"/>
    <w:semiHidden/>
    <w:locked/>
    <w:rsid w:val="00351E32"/>
    <w:pPr>
      <w:tabs>
        <w:tab w:val="num" w:pos="360"/>
      </w:tabs>
      <w:spacing w:after="120"/>
      <w:ind w:left="360" w:hanging="360"/>
    </w:pPr>
  </w:style>
  <w:style w:type="paragraph" w:styleId="ListParagraph">
    <w:name w:val="List Paragraph"/>
    <w:basedOn w:val="Normal"/>
    <w:uiPriority w:val="1"/>
    <w:semiHidden/>
    <w:rsid w:val="00BD0DC6"/>
    <w:pPr>
      <w:ind w:left="720"/>
      <w:contextualSpacing/>
    </w:pPr>
  </w:style>
  <w:style w:type="table" w:styleId="ListTable7Colorful-Accent1">
    <w:name w:val="List Table 7 Colorful Accent 1"/>
    <w:basedOn w:val="TableNormal"/>
    <w:uiPriority w:val="52"/>
    <w:locked/>
    <w:rsid w:val="006B3D7D"/>
    <w:pPr>
      <w:spacing w:after="0" w:line="240" w:lineRule="auto"/>
    </w:pPr>
    <w:rPr>
      <w:rFonts w:ascii="Franklin Gothic Book" w:eastAsia="Franklin Gothic Book" w:hAnsi="Franklin Gothic Book" w:cs="Times New Roman"/>
      <w:color w:val="032755"/>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2B5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2B5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2B5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2B54" w:themeColor="accent1"/>
        </w:tcBorders>
        <w:shd w:val="clear" w:color="auto" w:fill="FFFFFF" w:themeFill="background1"/>
      </w:tcPr>
    </w:tblStylePr>
    <w:tblStylePr w:type="band1Vert">
      <w:tblPr/>
      <w:tcPr>
        <w:shd w:val="clear" w:color="auto" w:fill="BFCEED" w:themeFill="accent1" w:themeFillTint="33"/>
      </w:tcPr>
    </w:tblStylePr>
    <w:tblStylePr w:type="band1Horz">
      <w:tblPr/>
      <w:tcPr>
        <w:shd w:val="clear" w:color="auto" w:fill="BFCE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List1">
    <w:name w:val="No. List 1"/>
    <w:uiPriority w:val="9"/>
    <w:rsid w:val="00E65671"/>
    <w:pPr>
      <w:numPr>
        <w:numId w:val="10"/>
      </w:numPr>
      <w:spacing w:after="120" w:line="240" w:lineRule="auto"/>
      <w:jc w:val="both"/>
    </w:pPr>
    <w:rPr>
      <w:rFonts w:ascii="Franklin Gothic Book" w:eastAsia="Times New Roman" w:hAnsi="Franklin Gothic Book" w:cs="Times New Roman"/>
      <w:color w:val="4A4D56" w:themeColor="text1"/>
      <w:lang w:val="en-US"/>
    </w:rPr>
  </w:style>
  <w:style w:type="paragraph" w:customStyle="1" w:styleId="NoList2">
    <w:name w:val="No. List 2"/>
    <w:uiPriority w:val="9"/>
    <w:rsid w:val="00E65671"/>
    <w:pPr>
      <w:numPr>
        <w:ilvl w:val="1"/>
        <w:numId w:val="11"/>
      </w:numPr>
      <w:spacing w:after="120" w:line="240" w:lineRule="auto"/>
      <w:jc w:val="both"/>
    </w:pPr>
    <w:rPr>
      <w:rFonts w:ascii="Franklin Gothic Book" w:eastAsia="Times New Roman" w:hAnsi="Franklin Gothic Book" w:cs="Times New Roman"/>
      <w:color w:val="4A4D56" w:themeColor="text1"/>
      <w:lang w:val="en-US"/>
    </w:rPr>
  </w:style>
  <w:style w:type="paragraph" w:customStyle="1" w:styleId="NoList3">
    <w:name w:val="No. List 3"/>
    <w:uiPriority w:val="9"/>
    <w:rsid w:val="00E65671"/>
    <w:pPr>
      <w:numPr>
        <w:ilvl w:val="2"/>
        <w:numId w:val="12"/>
      </w:numPr>
      <w:spacing w:after="120" w:line="240" w:lineRule="auto"/>
      <w:jc w:val="both"/>
    </w:pPr>
    <w:rPr>
      <w:rFonts w:ascii="Franklin Gothic Book" w:eastAsia="Times New Roman" w:hAnsi="Franklin Gothic Book" w:cs="Times New Roman"/>
      <w:color w:val="4A4D56" w:themeColor="text1"/>
      <w:lang w:val="en-US"/>
    </w:rPr>
  </w:style>
  <w:style w:type="paragraph" w:styleId="NormalWeb">
    <w:name w:val="Normal (Web)"/>
    <w:basedOn w:val="Normal"/>
    <w:uiPriority w:val="99"/>
    <w:semiHidden/>
    <w:rsid w:val="00B51ADD"/>
    <w:pPr>
      <w:spacing w:before="100" w:beforeAutospacing="1" w:after="100" w:afterAutospacing="1"/>
    </w:pPr>
    <w:rPr>
      <w:rFonts w:ascii="Times New Roman" w:hAnsi="Times New Roman"/>
    </w:rPr>
  </w:style>
  <w:style w:type="paragraph" w:customStyle="1" w:styleId="NormalCenter">
    <w:name w:val="Normal Center"/>
    <w:basedOn w:val="Normal"/>
    <w:uiPriority w:val="1"/>
    <w:rsid w:val="001E1344"/>
    <w:pPr>
      <w:jc w:val="center"/>
    </w:pPr>
    <w:rPr>
      <w:noProof/>
    </w:rPr>
  </w:style>
  <w:style w:type="numbering" w:customStyle="1" w:styleId="ODBulletList">
    <w:name w:val="OD Bullet List"/>
    <w:uiPriority w:val="99"/>
    <w:rsid w:val="0028728B"/>
  </w:style>
  <w:style w:type="numbering" w:customStyle="1" w:styleId="ODNumberList">
    <w:name w:val="OD Number List"/>
    <w:uiPriority w:val="99"/>
    <w:rsid w:val="00BD0DC6"/>
  </w:style>
  <w:style w:type="table" w:customStyle="1" w:styleId="ODCBasic-1">
    <w:name w:val="ODC_Basic-1"/>
    <w:basedOn w:val="TableNormal"/>
    <w:uiPriority w:val="99"/>
    <w:qFormat/>
    <w:rsid w:val="00E6039A"/>
    <w:pPr>
      <w:spacing w:after="0" w:line="240" w:lineRule="auto"/>
    </w:pPr>
    <w:rPr>
      <w:rFonts w:ascii="Franklin Gothic Book" w:eastAsia="Times New Roman" w:hAnsi="Franklin Gothic Book" w:cs="Times New Roman"/>
      <w:color w:val="FFFFFF" w:themeColor="background1"/>
      <w:sz w:val="18"/>
      <w:szCs w:val="20"/>
      <w:lang w:val="en-US"/>
    </w:rPr>
    <w:tblPr>
      <w:tblStyleRowBandSize w:val="1"/>
      <w:tblStyleColBandSize w:val="1"/>
      <w:jc w:val="center"/>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rPr>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jc w:val="center"/>
        <w:outlineLvl w:val="9"/>
      </w:pPr>
      <w:rPr>
        <w:rFonts w:ascii="Franklin Gothic Medium" w:hAnsi="Franklin Gothic Medium"/>
        <w:b w:val="0"/>
        <w:i w:val="0"/>
        <w:iCs/>
        <w:color w:val="1FA9E1" w:themeColor="accent3"/>
        <w:sz w:val="18"/>
      </w:rPr>
      <w:tblPr/>
      <w:tcPr>
        <w:tcBorders>
          <w:bottom w:val="single" w:sz="4" w:space="0" w:color="FFFFFF" w:themeColor="background2"/>
        </w:tcBorders>
        <w:shd w:val="clear" w:color="auto" w:fill="053572" w:themeFill="text2"/>
      </w:tcPr>
    </w:tblStylePr>
    <w:tblStylePr w:type="lastRow">
      <w:pPr>
        <w:jc w:val="left"/>
      </w:pPr>
      <w:rPr>
        <w:rFonts w:asciiTheme="minorHAnsi" w:hAnsiTheme="minorHAnsi"/>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ageNumber">
    <w:name w:val="page number"/>
    <w:basedOn w:val="DefaultParagraphFont"/>
    <w:uiPriority w:val="99"/>
    <w:semiHidden/>
    <w:rsid w:val="00B51ADD"/>
  </w:style>
  <w:style w:type="character" w:styleId="PlaceholderText">
    <w:name w:val="Placeholder Text"/>
    <w:basedOn w:val="DefaultParagraphFont"/>
    <w:uiPriority w:val="99"/>
    <w:semiHidden/>
    <w:rsid w:val="002C33BF"/>
    <w:rPr>
      <w:color w:val="808080"/>
    </w:rPr>
  </w:style>
  <w:style w:type="table" w:styleId="PlainTable1">
    <w:name w:val="Plain Table 1"/>
    <w:basedOn w:val="TableNormal"/>
    <w:uiPriority w:val="41"/>
    <w:locked/>
    <w:rsid w:val="006143D1"/>
    <w:pPr>
      <w:spacing w:before="200" w:after="0" w:line="240" w:lineRule="auto"/>
    </w:pPr>
    <w:rPr>
      <w:rFonts w:ascii="Franklin Gothic Book" w:eastAsia="Times New Roman" w:hAnsi="Franklin Gothic Book" w:cs="Times New Roman"/>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locked/>
    <w:rsid w:val="00904FB6"/>
    <w:pPr>
      <w:spacing w:before="200" w:after="0" w:line="240" w:lineRule="auto"/>
    </w:pPr>
    <w:rPr>
      <w:rFonts w:ascii="Franklin Gothic Book" w:eastAsia="Times New Roman" w:hAnsi="Franklin Gothic Book" w:cs="Times New Roman"/>
      <w:lang w:val="en-US"/>
    </w:rPr>
    <w:tblPr>
      <w:tblStyleRowBandSize w:val="1"/>
      <w:tblStyleColBandSize w:val="1"/>
    </w:tblPr>
    <w:tblStylePr w:type="firstRow">
      <w:rPr>
        <w:b/>
        <w:bCs/>
        <w:caps/>
      </w:rPr>
      <w:tblPr/>
      <w:tcPr>
        <w:tcBorders>
          <w:bottom w:val="single" w:sz="4" w:space="0" w:color="A0A3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0A3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QuoteStyle">
    <w:name w:val="Quote Style"/>
    <w:basedOn w:val="Normal"/>
    <w:next w:val="Normal"/>
    <w:uiPriority w:val="5"/>
    <w:rsid w:val="00D075CA"/>
    <w:pPr>
      <w:jc w:val="center"/>
    </w:pPr>
    <w:rPr>
      <w:color w:val="6B9BDE" w:themeColor="accent2" w:themeTint="99"/>
      <w:sz w:val="24"/>
    </w:rPr>
  </w:style>
  <w:style w:type="paragraph" w:styleId="Quote">
    <w:name w:val="Quote"/>
    <w:basedOn w:val="Normal"/>
    <w:next w:val="Normal"/>
    <w:uiPriority w:val="99"/>
    <w:semiHidden/>
    <w:qFormat/>
    <w:rsid w:val="00C970BA"/>
    <w:pPr>
      <w:ind w:left="864" w:right="864"/>
      <w:jc w:val="center"/>
    </w:pPr>
    <w:rPr>
      <w:i/>
      <w:iCs/>
    </w:rPr>
  </w:style>
  <w:style w:type="paragraph" w:styleId="Signature">
    <w:name w:val="Signature"/>
    <w:basedOn w:val="Normal"/>
    <w:uiPriority w:val="99"/>
    <w:semiHidden/>
    <w:rsid w:val="00B51ADD"/>
    <w:pPr>
      <w:spacing w:after="0"/>
      <w:ind w:left="4320"/>
    </w:pPr>
  </w:style>
  <w:style w:type="character" w:styleId="SubtleEmphasis">
    <w:name w:val="Subtle Emphasis"/>
    <w:aliases w:val="Emphasis (Subtle)"/>
    <w:uiPriority w:val="4"/>
    <w:qFormat/>
    <w:rsid w:val="005529E5"/>
    <w:rPr>
      <w:rFonts w:asciiTheme="minorHAnsi" w:hAnsiTheme="minorHAnsi"/>
      <w:b/>
      <w:iCs/>
      <w:color w:val="4A4D56" w:themeColor="text1"/>
      <w:sz w:val="22"/>
    </w:rPr>
  </w:style>
  <w:style w:type="paragraph" w:styleId="TOC1">
    <w:name w:val="toc 1"/>
    <w:basedOn w:val="Normal"/>
    <w:next w:val="Normal"/>
    <w:autoRedefine/>
    <w:uiPriority w:val="39"/>
    <w:semiHidden/>
    <w:qFormat/>
    <w:rsid w:val="008530C3"/>
    <w:pPr>
      <w:tabs>
        <w:tab w:val="left" w:pos="1584"/>
        <w:tab w:val="right" w:leader="dot" w:pos="10746"/>
      </w:tabs>
      <w:spacing w:before="120" w:after="120"/>
      <w:ind w:right="-4"/>
    </w:pPr>
    <w:rPr>
      <w:noProof/>
    </w:rPr>
  </w:style>
  <w:style w:type="paragraph" w:styleId="TOC2">
    <w:name w:val="toc 2"/>
    <w:basedOn w:val="Normal"/>
    <w:next w:val="Normal"/>
    <w:autoRedefine/>
    <w:uiPriority w:val="39"/>
    <w:semiHidden/>
    <w:rsid w:val="00A14F20"/>
    <w:pPr>
      <w:tabs>
        <w:tab w:val="left" w:leader="dot" w:pos="1152"/>
        <w:tab w:val="right" w:leader="dot" w:pos="10746"/>
      </w:tabs>
      <w:spacing w:before="120" w:after="120"/>
      <w:ind w:left="936" w:right="360" w:hanging="504"/>
    </w:pPr>
    <w:rPr>
      <w:noProof/>
    </w:rPr>
  </w:style>
  <w:style w:type="paragraph" w:styleId="TOC3">
    <w:name w:val="toc 3"/>
    <w:basedOn w:val="Normal"/>
    <w:next w:val="Normal"/>
    <w:autoRedefine/>
    <w:uiPriority w:val="39"/>
    <w:semiHidden/>
    <w:rsid w:val="00046703"/>
    <w:pPr>
      <w:tabs>
        <w:tab w:val="right" w:leader="dot" w:pos="9360"/>
      </w:tabs>
      <w:spacing w:before="100"/>
      <w:ind w:left="1584" w:right="333" w:hanging="648"/>
    </w:pPr>
  </w:style>
  <w:style w:type="paragraph" w:styleId="TOC4">
    <w:name w:val="toc 4"/>
    <w:basedOn w:val="Normal"/>
    <w:next w:val="Normal"/>
    <w:autoRedefine/>
    <w:uiPriority w:val="39"/>
    <w:semiHidden/>
    <w:rsid w:val="00721364"/>
    <w:pPr>
      <w:spacing w:after="0"/>
      <w:ind w:left="660"/>
    </w:pPr>
    <w:rPr>
      <w:sz w:val="20"/>
      <w:szCs w:val="20"/>
    </w:rPr>
  </w:style>
  <w:style w:type="paragraph" w:styleId="TOC5">
    <w:name w:val="toc 5"/>
    <w:basedOn w:val="Normal"/>
    <w:next w:val="Normal"/>
    <w:autoRedefine/>
    <w:uiPriority w:val="39"/>
    <w:semiHidden/>
    <w:rsid w:val="00721364"/>
    <w:pPr>
      <w:spacing w:after="0"/>
      <w:ind w:left="880"/>
    </w:pPr>
    <w:rPr>
      <w:sz w:val="20"/>
      <w:szCs w:val="20"/>
    </w:rPr>
  </w:style>
  <w:style w:type="paragraph" w:styleId="TOC6">
    <w:name w:val="toc 6"/>
    <w:basedOn w:val="Normal"/>
    <w:next w:val="Normal"/>
    <w:autoRedefine/>
    <w:uiPriority w:val="39"/>
    <w:semiHidden/>
    <w:rsid w:val="00721364"/>
    <w:pPr>
      <w:spacing w:after="0"/>
      <w:ind w:left="1100"/>
    </w:pPr>
    <w:rPr>
      <w:sz w:val="20"/>
      <w:szCs w:val="20"/>
    </w:rPr>
  </w:style>
  <w:style w:type="paragraph" w:styleId="TOC9">
    <w:name w:val="toc 9"/>
    <w:basedOn w:val="Normal"/>
    <w:next w:val="Normal"/>
    <w:autoRedefine/>
    <w:uiPriority w:val="99"/>
    <w:semiHidden/>
    <w:rsid w:val="00102DB2"/>
    <w:pPr>
      <w:spacing w:after="100"/>
      <w:ind w:left="1760"/>
    </w:pPr>
  </w:style>
  <w:style w:type="paragraph" w:styleId="TOCHeading">
    <w:name w:val="TOC Heading"/>
    <w:basedOn w:val="Normal"/>
    <w:uiPriority w:val="39"/>
    <w:unhideWhenUsed/>
    <w:qFormat/>
    <w:rsid w:val="003B615C"/>
    <w:pPr>
      <w:spacing w:line="500" w:lineRule="exact"/>
    </w:pPr>
    <w:rPr>
      <w:rFonts w:ascii="Rift Soft" w:hAnsi="Rift Soft"/>
      <w:color w:val="053572"/>
      <w:sz w:val="48"/>
      <w:szCs w:val="48"/>
    </w:rPr>
  </w:style>
  <w:style w:type="table" w:styleId="Table3Deffects3">
    <w:name w:val="Table 3D effects 3"/>
    <w:basedOn w:val="TableNormal"/>
    <w:locked/>
    <w:rsid w:val="004B54F7"/>
    <w:pPr>
      <w:spacing w:before="200" w:line="240" w:lineRule="auto"/>
      <w:jc w:val="both"/>
    </w:pPr>
    <w:rPr>
      <w:rFonts w:ascii="Franklin Gothic Book" w:eastAsia="Times New Roman" w:hAnsi="Franklin Gothic Book" w:cs="Times New Roman"/>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Normal"/>
    <w:uiPriority w:val="6"/>
    <w:qFormat/>
    <w:rsid w:val="00800410"/>
    <w:pPr>
      <w:numPr>
        <w:numId w:val="13"/>
      </w:numPr>
      <w:spacing w:after="0"/>
      <w:ind w:left="144" w:hanging="144"/>
    </w:pPr>
    <w:rPr>
      <w:sz w:val="20"/>
      <w:szCs w:val="20"/>
    </w:rPr>
  </w:style>
  <w:style w:type="paragraph" w:customStyle="1" w:styleId="TableCenterText">
    <w:name w:val="Table Center Text"/>
    <w:uiPriority w:val="6"/>
    <w:rsid w:val="00D46027"/>
    <w:pPr>
      <w:spacing w:after="0" w:line="240" w:lineRule="auto"/>
      <w:jc w:val="center"/>
    </w:pPr>
    <w:rPr>
      <w:rFonts w:ascii="Franklin Gothic Book" w:eastAsia="Times New Roman" w:hAnsi="Franklin Gothic Book" w:cs="Times New Roman"/>
      <w:color w:val="4A4D56" w:themeColor="text1"/>
      <w:sz w:val="20"/>
      <w:lang w:val="en-US"/>
    </w:rPr>
  </w:style>
  <w:style w:type="table" w:styleId="TableGrid">
    <w:name w:val="Table Grid"/>
    <w:locked/>
    <w:rsid w:val="002B512D"/>
    <w:pPr>
      <w:spacing w:after="0" w:line="240" w:lineRule="auto"/>
    </w:pPr>
    <w:rPr>
      <w:rFonts w:ascii="Franklin Gothic Book" w:eastAsia="Times New Roman" w:hAnsi="Franklin Gothic Book" w:cs="Times New Roman"/>
      <w:color w:val="FFFFFF"/>
      <w:sz w:val="20"/>
      <w:szCs w:val="20"/>
      <w:lang w:val="en-US" w:eastAsia="en-ZA"/>
    </w:r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jc w:val="center"/>
        <w:outlineLvl w:val="9"/>
      </w:pPr>
      <w:tblPr/>
      <w:trPr>
        <w:tblHeader/>
      </w:trPr>
      <w:tcPr>
        <w:tcBorders>
          <w:bottom w:val="single" w:sz="6" w:space="0" w:color="000000"/>
        </w:tcBorders>
        <w:shd w:val="clear" w:color="auto" w:fill="053572" w:themeFill="text2"/>
      </w:tcPr>
    </w:tblStylePr>
    <w:tblStylePr w:type="lastRow">
      <w:pPr>
        <w:jc w:val="left"/>
      </w:pPr>
      <w:rPr>
        <w:rFonts w:asciiTheme="minorHAnsi" w:hAnsiTheme="minorHAnsi"/>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LeftText">
    <w:name w:val="Table Left Text"/>
    <w:uiPriority w:val="6"/>
    <w:qFormat/>
    <w:rsid w:val="007C5AA1"/>
    <w:pPr>
      <w:spacing w:after="0" w:line="240" w:lineRule="auto"/>
    </w:pPr>
    <w:rPr>
      <w:rFonts w:ascii="Franklin Gothic Book" w:eastAsia="Times New Roman" w:hAnsi="Franklin Gothic Book" w:cs="Times New Roman"/>
      <w:color w:val="4A4D56" w:themeColor="text1"/>
      <w:sz w:val="20"/>
      <w:lang w:val="en-US"/>
    </w:rPr>
  </w:style>
  <w:style w:type="paragraph" w:customStyle="1" w:styleId="TableRightText">
    <w:name w:val="Table Right Text"/>
    <w:basedOn w:val="Normal"/>
    <w:uiPriority w:val="6"/>
    <w:rsid w:val="00C33039"/>
    <w:pPr>
      <w:spacing w:after="0"/>
      <w:jc w:val="right"/>
    </w:pPr>
    <w:rPr>
      <w:sz w:val="20"/>
    </w:rPr>
  </w:style>
  <w:style w:type="paragraph" w:customStyle="1" w:styleId="TableHeadingCentered">
    <w:name w:val="Table Heading (Centered)"/>
    <w:uiPriority w:val="6"/>
    <w:qFormat/>
    <w:rsid w:val="006E68B0"/>
    <w:pPr>
      <w:spacing w:after="0" w:line="240" w:lineRule="auto"/>
      <w:jc w:val="center"/>
    </w:pPr>
    <w:rPr>
      <w:rFonts w:ascii="Franklin Gothic Medium" w:eastAsia="Times New Roman" w:hAnsi="Franklin Gothic Medium" w:cs="Times New Roman"/>
      <w:color w:val="FFFFFF" w:themeColor="background1"/>
      <w:sz w:val="20"/>
      <w:szCs w:val="20"/>
      <w:lang w:val="en-US"/>
    </w:rPr>
  </w:style>
  <w:style w:type="paragraph" w:customStyle="1" w:styleId="TableWhiteTextBook">
    <w:name w:val="Table White Text (Book)"/>
    <w:uiPriority w:val="6"/>
    <w:rsid w:val="000F7F43"/>
    <w:pPr>
      <w:spacing w:after="0" w:line="240" w:lineRule="auto"/>
    </w:pPr>
    <w:rPr>
      <w:rFonts w:ascii="Franklin Gothic Book" w:eastAsia="Times New Roman" w:hAnsi="Franklin Gothic Book" w:cs="Times New Roman"/>
      <w:color w:val="FFFFFF"/>
      <w:sz w:val="20"/>
      <w:szCs w:val="20"/>
      <w:lang w:val="en-US"/>
    </w:rPr>
  </w:style>
  <w:style w:type="paragraph" w:styleId="TableofFigures">
    <w:name w:val="table of figures"/>
    <w:basedOn w:val="Normal"/>
    <w:next w:val="Normal"/>
    <w:uiPriority w:val="99"/>
    <w:semiHidden/>
    <w:rsid w:val="00173A1F"/>
    <w:pPr>
      <w:tabs>
        <w:tab w:val="right" w:leader="dot" w:pos="10070"/>
      </w:tabs>
      <w:spacing w:before="120" w:after="120"/>
      <w:ind w:right="360"/>
    </w:pPr>
  </w:style>
  <w:style w:type="paragraph" w:customStyle="1" w:styleId="TableFootnote">
    <w:name w:val="Table_Footnote"/>
    <w:uiPriority w:val="6"/>
    <w:rsid w:val="007C5AA1"/>
    <w:pPr>
      <w:spacing w:before="40" w:after="60" w:line="240" w:lineRule="auto"/>
      <w:jc w:val="both"/>
    </w:pPr>
    <w:rPr>
      <w:rFonts w:ascii="Franklin Gothic Book" w:eastAsia="Times New Roman" w:hAnsi="Franklin Gothic Book" w:cs="Times New Roman"/>
      <w:color w:val="4A4D56" w:themeColor="text1"/>
      <w:sz w:val="18"/>
      <w:szCs w:val="19"/>
      <w:lang w:val="en-US"/>
    </w:rPr>
  </w:style>
  <w:style w:type="character" w:styleId="UnresolvedMention">
    <w:name w:val="Unresolved Mention"/>
    <w:basedOn w:val="DefaultParagraphFont"/>
    <w:uiPriority w:val="99"/>
    <w:semiHidden/>
    <w:unhideWhenUsed/>
    <w:rsid w:val="00E71369"/>
    <w:rPr>
      <w:color w:val="605E5C"/>
      <w:shd w:val="clear" w:color="auto" w:fill="E1DFDD"/>
    </w:rPr>
  </w:style>
  <w:style w:type="table" w:customStyle="1" w:styleId="ODExcelPlaceholder">
    <w:name w:val="_OD Excel Placeholder"/>
    <w:basedOn w:val="TableNormal"/>
    <w:uiPriority w:val="99"/>
    <w:rsid w:val="00865C6A"/>
    <w:pPr>
      <w:spacing w:after="0"/>
    </w:pPr>
    <w:rPr>
      <w:sz w:val="18"/>
    </w:rPr>
    <w:tblPr>
      <w:tblCellMar>
        <w:left w:w="0" w:type="dxa"/>
        <w:right w:w="0" w:type="dxa"/>
      </w:tblCellMar>
    </w:tblPr>
    <w:tblStylePr w:type="firstRow">
      <w:pPr>
        <w:wordWrap/>
        <w:spacing w:beforeLines="0" w:before="0" w:beforeAutospacing="0" w:afterLines="0" w:after="0" w:afterAutospacing="0" w:line="240" w:lineRule="auto"/>
        <w:ind w:leftChars="0" w:left="0" w:rightChars="0" w:right="0"/>
        <w:jc w:val="center"/>
        <w:outlineLvl w:val="9"/>
      </w:pPr>
      <w:rPr>
        <w:rFonts w:asciiTheme="minorHAnsi" w:hAnsiTheme="minorHAnsi"/>
        <w:sz w:val="18"/>
      </w:rPr>
    </w:tblStylePr>
  </w:style>
  <w:style w:type="paragraph" w:customStyle="1" w:styleId="zSRnote">
    <w:name w:val="zSR note"/>
    <w:basedOn w:val="Normal"/>
    <w:uiPriority w:val="99"/>
    <w:semiHidden/>
    <w:locked/>
    <w:rsid w:val="000C2EF9"/>
    <w:pPr>
      <w:spacing w:after="0"/>
    </w:pPr>
    <w:rPr>
      <w:color w:val="C00000"/>
    </w:rPr>
  </w:style>
  <w:style w:type="table" w:customStyle="1" w:styleId="ODTable1">
    <w:name w:val="OD Table 1"/>
    <w:basedOn w:val="TableNormal"/>
    <w:uiPriority w:val="99"/>
    <w:rsid w:val="008F0909"/>
    <w:pPr>
      <w:spacing w:after="0" w:line="240" w:lineRule="auto"/>
    </w:pPr>
    <w:tblPr/>
  </w:style>
  <w:style w:type="numbering" w:customStyle="1" w:styleId="ODXAPPENDIX">
    <w:name w:val="ODX APPENDIX"/>
    <w:uiPriority w:val="99"/>
    <w:rsid w:val="008B2F0D"/>
    <w:pPr>
      <w:numPr>
        <w:numId w:val="15"/>
      </w:numPr>
    </w:pPr>
  </w:style>
  <w:style w:type="character" w:styleId="SmartLink">
    <w:name w:val="Smart Link"/>
    <w:basedOn w:val="DefaultParagraphFont"/>
    <w:uiPriority w:val="99"/>
    <w:semiHidden/>
    <w:unhideWhenUsed/>
    <w:rsid w:val="000C2EF9"/>
    <w:rPr>
      <w:rFonts w:asciiTheme="minorHAnsi" w:hAnsiTheme="minorHAnsi"/>
      <w:color w:val="1FA9E1" w:themeColor="accent3"/>
      <w:sz w:val="22"/>
      <w:u w:val="single"/>
      <w:shd w:val="clear" w:color="auto" w:fill="F3F2F1"/>
    </w:rPr>
  </w:style>
  <w:style w:type="paragraph" w:customStyle="1" w:styleId="TableHeadingLeft">
    <w:name w:val="Table Heading (Left)"/>
    <w:qFormat/>
    <w:rsid w:val="007C5AA1"/>
    <w:pPr>
      <w:spacing w:after="0" w:line="240" w:lineRule="auto"/>
    </w:pPr>
    <w:rPr>
      <w:rFonts w:ascii="Franklin Gothic Medium" w:eastAsia="Times New Roman" w:hAnsi="Franklin Gothic Medium" w:cs="Times New Roman"/>
      <w:color w:val="FFFFFF" w:themeColor="background1"/>
      <w:sz w:val="20"/>
      <w:szCs w:val="20"/>
      <w:lang w:val="en-US"/>
    </w:rPr>
  </w:style>
  <w:style w:type="paragraph" w:customStyle="1" w:styleId="AppendicesEntries">
    <w:name w:val="Appendices Entries"/>
    <w:semiHidden/>
    <w:rsid w:val="003C4811"/>
    <w:pPr>
      <w:tabs>
        <w:tab w:val="left" w:pos="1584"/>
        <w:tab w:val="right" w:leader="dot" w:pos="10746"/>
      </w:tabs>
      <w:spacing w:before="120" w:after="120"/>
      <w:ind w:left="360" w:right="-4" w:hanging="360"/>
    </w:pPr>
    <w:rPr>
      <w:rFonts w:ascii="Franklin Gothic Book" w:eastAsia="Times New Roman" w:hAnsi="Franklin Gothic Book" w:cs="Times New Roman"/>
      <w:noProof/>
      <w:color w:val="4A4D56" w:themeColor="text1"/>
      <w:szCs w:val="20"/>
      <w:lang w:val="en-US"/>
    </w:rPr>
  </w:style>
  <w:style w:type="paragraph" w:customStyle="1" w:styleId="TableTextLeftMedium">
    <w:name w:val="Table Text Left (Medium)"/>
    <w:qFormat/>
    <w:rsid w:val="000E0419"/>
    <w:pPr>
      <w:spacing w:after="0" w:line="240" w:lineRule="auto"/>
    </w:pPr>
    <w:rPr>
      <w:rFonts w:ascii="Franklin Gothic Medium" w:eastAsia="Times New Roman" w:hAnsi="Franklin Gothic Medium" w:cs="Times New Roman"/>
      <w:color w:val="4A4D56" w:themeColor="text1"/>
      <w:sz w:val="20"/>
      <w:lang w:val="en-US"/>
    </w:rPr>
  </w:style>
  <w:style w:type="paragraph" w:styleId="Header">
    <w:name w:val="header"/>
    <w:basedOn w:val="Normal"/>
    <w:link w:val="HeaderChar"/>
    <w:uiPriority w:val="99"/>
    <w:semiHidden/>
    <w:rsid w:val="00A02B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29E5"/>
    <w:rPr>
      <w:rFonts w:ascii="Franklin Gothic Book" w:eastAsia="Times New Roman" w:hAnsi="Franklin Gothic Book" w:cs="Times New Roman"/>
      <w:color w:val="4A4D56" w:themeColor="text1"/>
      <w:lang w:val="en-US"/>
    </w:rPr>
  </w:style>
  <w:style w:type="paragraph" w:styleId="Footer">
    <w:name w:val="footer"/>
    <w:basedOn w:val="Normal"/>
    <w:link w:val="FooterChar"/>
    <w:uiPriority w:val="99"/>
    <w:semiHidden/>
    <w:rsid w:val="00A02B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29E5"/>
    <w:rPr>
      <w:rFonts w:ascii="Franklin Gothic Book" w:eastAsia="Times New Roman" w:hAnsi="Franklin Gothic Book" w:cs="Times New Roman"/>
      <w:color w:val="4A4D56" w:themeColor="text1"/>
      <w:lang w:val="en-US"/>
    </w:rPr>
  </w:style>
  <w:style w:type="paragraph" w:customStyle="1" w:styleId="ResumeStyle2">
    <w:name w:val="Resume Style 2"/>
    <w:basedOn w:val="Header"/>
    <w:semiHidden/>
    <w:qFormat/>
    <w:rsid w:val="005529E5"/>
    <w:rPr>
      <w:color w:val="053572" w:themeColor="text2"/>
      <w:sz w:val="24"/>
    </w:rPr>
  </w:style>
  <w:style w:type="paragraph" w:styleId="Title">
    <w:name w:val="Title"/>
    <w:aliases w:val="Memo Title"/>
    <w:basedOn w:val="Normal"/>
    <w:next w:val="Normal"/>
    <w:link w:val="TitleChar"/>
    <w:uiPriority w:val="10"/>
    <w:qFormat/>
    <w:rsid w:val="00E02F5E"/>
    <w:pPr>
      <w:spacing w:before="160" w:after="160" w:line="240" w:lineRule="auto"/>
      <w:contextualSpacing/>
    </w:pPr>
    <w:rPr>
      <w:rFonts w:ascii="Rift Soft Medium" w:eastAsiaTheme="majorEastAsia" w:hAnsi="Rift Soft Medium" w:cstheme="majorBidi"/>
      <w:color w:val="053572" w:themeColor="text2"/>
      <w:spacing w:val="-10"/>
      <w:kern w:val="28"/>
      <w:sz w:val="60"/>
      <w:szCs w:val="56"/>
    </w:rPr>
  </w:style>
  <w:style w:type="character" w:customStyle="1" w:styleId="TitleChar">
    <w:name w:val="Title Char"/>
    <w:aliases w:val="Memo Title Char"/>
    <w:basedOn w:val="DefaultParagraphFont"/>
    <w:link w:val="Title"/>
    <w:uiPriority w:val="10"/>
    <w:rsid w:val="00E02F5E"/>
    <w:rPr>
      <w:rFonts w:ascii="Rift Soft Medium" w:eastAsiaTheme="majorEastAsia" w:hAnsi="Rift Soft Medium" w:cstheme="majorBidi"/>
      <w:color w:val="053572" w:themeColor="text2"/>
      <w:spacing w:val="-10"/>
      <w:kern w:val="28"/>
      <w:sz w:val="60"/>
      <w:szCs w:val="56"/>
      <w:lang w:val="en-US"/>
    </w:rPr>
  </w:style>
  <w:style w:type="character" w:styleId="CommentReference">
    <w:name w:val="annotation reference"/>
    <w:basedOn w:val="DefaultParagraphFont"/>
    <w:uiPriority w:val="99"/>
    <w:semiHidden/>
    <w:unhideWhenUsed/>
    <w:rsid w:val="007F1663"/>
    <w:rPr>
      <w:sz w:val="16"/>
      <w:szCs w:val="16"/>
    </w:rPr>
  </w:style>
  <w:style w:type="paragraph" w:styleId="Caption">
    <w:name w:val="caption"/>
    <w:link w:val="CaptionChar"/>
    <w:autoRedefine/>
    <w:uiPriority w:val="35"/>
    <w:qFormat/>
    <w:rsid w:val="00836F9F"/>
    <w:pPr>
      <w:keepNext/>
      <w:jc w:val="center"/>
    </w:pPr>
    <w:rPr>
      <w:rFonts w:ascii="Franklin Gothic Book" w:eastAsia="Times New Roman" w:hAnsi="Franklin Gothic Book" w:cs="Times New Roman"/>
      <w:bCs/>
      <w:color w:val="4A4D56" w:themeColor="text1"/>
      <w:szCs w:val="20"/>
      <w:lang w:val="en-US"/>
    </w:rPr>
  </w:style>
  <w:style w:type="character" w:customStyle="1" w:styleId="CaptionChar">
    <w:name w:val="Caption Char"/>
    <w:basedOn w:val="DefaultParagraphFont"/>
    <w:link w:val="Caption"/>
    <w:uiPriority w:val="35"/>
    <w:rsid w:val="00836F9F"/>
    <w:rPr>
      <w:rFonts w:ascii="Franklin Gothic Book" w:eastAsia="Times New Roman" w:hAnsi="Franklin Gothic Book" w:cs="Times New Roman"/>
      <w:bCs/>
      <w:color w:val="4A4D56" w:themeColor="text1"/>
      <w:szCs w:val="20"/>
      <w:lang w:val="en-US"/>
    </w:rPr>
  </w:style>
  <w:style w:type="paragraph" w:customStyle="1" w:styleId="TableLeftTextMedium">
    <w:name w:val="Table Left Text (Medium)"/>
    <w:basedOn w:val="TableLeftText"/>
    <w:qFormat/>
    <w:rsid w:val="00836F9F"/>
    <w:rPr>
      <w:rFonts w:asciiTheme="majorHAnsi" w:hAnsiTheme="majorHAnsi"/>
      <w:szCs w:val="20"/>
    </w:rPr>
  </w:style>
  <w:style w:type="paragraph" w:styleId="Revision">
    <w:name w:val="Revision"/>
    <w:hidden/>
    <w:uiPriority w:val="99"/>
    <w:semiHidden/>
    <w:rsid w:val="00D85179"/>
    <w:pPr>
      <w:spacing w:after="0" w:line="240" w:lineRule="auto"/>
    </w:pPr>
    <w:rPr>
      <w:rFonts w:ascii="Franklin Gothic Book" w:eastAsia="Times New Roman" w:hAnsi="Franklin Gothic Book" w:cs="Times New Roman"/>
      <w:color w:val="4A4D56" w:themeColor="text1"/>
      <w:lang w:val="en-US"/>
    </w:rPr>
  </w:style>
  <w:style w:type="character" w:styleId="Mention">
    <w:name w:val="Mention"/>
    <w:basedOn w:val="DefaultParagraphFont"/>
    <w:uiPriority w:val="99"/>
    <w:unhideWhenUsed/>
    <w:rsid w:val="00B22B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tyler\AppData\Local\Temp\a3b2cf53-9139-4766-a5f4-6432abe80412\23.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D main theme">
      <a:dk1>
        <a:srgbClr val="4A4D56"/>
      </a:dk1>
      <a:lt1>
        <a:srgbClr val="FFFFFF"/>
      </a:lt1>
      <a:dk2>
        <a:srgbClr val="053572"/>
      </a:dk2>
      <a:lt2>
        <a:srgbClr val="FFFFFF"/>
      </a:lt2>
      <a:accent1>
        <a:srgbClr val="172B54"/>
      </a:accent1>
      <a:accent2>
        <a:srgbClr val="265EAC"/>
      </a:accent2>
      <a:accent3>
        <a:srgbClr val="1FA9E1"/>
      </a:accent3>
      <a:accent4>
        <a:srgbClr val="7E83C0"/>
      </a:accent4>
      <a:accent5>
        <a:srgbClr val="5661AC"/>
      </a:accent5>
      <a:accent6>
        <a:srgbClr val="FFDFB8"/>
      </a:accent6>
      <a:hlink>
        <a:srgbClr val="4087C7"/>
      </a:hlink>
      <a:folHlink>
        <a:srgbClr val="A1CBE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blipFill>
          <a:blip xmlns:r="http://schemas.openxmlformats.org/officeDocument/2006/relationships" r:embed="rId1">
            <a:extLst>
              <a:ext uri="{96DAC541-7B7A-43D3-8B79-37D633B846F1}">
                <asvg:svgBlip xmlns:asvg="http://schemas.microsoft.com/office/drawing/2016/SVG/main" r:embed="rId2"/>
              </a:ext>
            </a:extLst>
          </a:blip>
          <a:stretch>
            <a:fillRect/>
          </a:stretch>
        </a:blipFill>
        <a:ln w="9525">
          <a:noFill/>
          <a:miter lim="800000"/>
          <a:headEnd/>
          <a:tailEnd/>
        </a:ln>
      </a:spPr>
      <a:bodyPr rot="0" vert="horz" wrap="square" lIns="468000" tIns="360000" rIns="468000" bIns="36000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B28B375AE3C48BEB724F15965256A" ma:contentTypeVersion="14" ma:contentTypeDescription="Create a new document." ma:contentTypeScope="" ma:versionID="72f84c8d2560a9df30d78368509d7a30">
  <xsd:schema xmlns:xsd="http://www.w3.org/2001/XMLSchema" xmlns:xs="http://www.w3.org/2001/XMLSchema" xmlns:p="http://schemas.microsoft.com/office/2006/metadata/properties" xmlns:ns1="http://schemas.microsoft.com/sharepoint/v3" xmlns:ns2="a4fe50bc-20d1-4636-8f6c-a2b4db6beb35" xmlns:ns3="5617ea84-5b47-4be1-ae1c-ed80b5de1d86" targetNamespace="http://schemas.microsoft.com/office/2006/metadata/properties" ma:root="true" ma:fieldsID="5eb939d0e0b13d9e69ea9af43599acdf" ns1:_="" ns2:_="" ns3:_="">
    <xsd:import namespace="http://schemas.microsoft.com/sharepoint/v3"/>
    <xsd:import namespace="a4fe50bc-20d1-4636-8f6c-a2b4db6beb35"/>
    <xsd:import namespace="5617ea84-5b47-4be1-ae1c-ed80b5de1d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e50bc-20d1-4636-8f6c-a2b4db6be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17ea84-5b47-4be1-ae1c-ed80b5de1d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Section</b:Tag>
    <b:RefOrder>1</b:RefOrder>
  </b:Source>
</b:Sources>
</file>

<file path=customXml/itemProps1.xml><?xml version="1.0" encoding="utf-8"?>
<ds:datastoreItem xmlns:ds="http://schemas.openxmlformats.org/officeDocument/2006/customXml" ds:itemID="{CD95DB40-8784-47F5-BD11-4870B2FAC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fe50bc-20d1-4636-8f6c-a2b4db6beb35"/>
    <ds:schemaRef ds:uri="5617ea84-5b47-4be1-ae1c-ed80b5de1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A886D-1B81-4AF0-9789-35C50B371D64}">
  <ds:schemaRefs>
    <ds:schemaRef ds:uri="http://schemas.microsoft.com/sharepoint/v3/contenttype/forms"/>
  </ds:schemaRefs>
</ds:datastoreItem>
</file>

<file path=customXml/itemProps3.xml><?xml version="1.0" encoding="utf-8"?>
<ds:datastoreItem xmlns:ds="http://schemas.openxmlformats.org/officeDocument/2006/customXml" ds:itemID="{5AE5D383-8288-463E-A8CC-DB995C25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Template>
  <TotalTime>0</TotalTime>
  <Pages>11</Pages>
  <Words>4748</Words>
  <Characters>27069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31754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Zack Tyler</dc:creator>
  <cp:lastModifiedBy>Mosley, Juralynne B.</cp:lastModifiedBy>
  <cp:revision>2</cp:revision>
  <dcterms:created xsi:type="dcterms:W3CDTF">2024-03-07T17:43:00Z</dcterms:created>
  <dcterms:modified xsi:type="dcterms:W3CDTF">2024-03-07T17:43:00Z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73564f48-a1c1-4ad1-8cac-555e9f90f817</vt:lpwstr>
  </property>
</Properties>
</file>